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1544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用于</w:t>
      </w:r>
      <w:r>
        <w:rPr>
          <w:rFonts w:ascii="Times New Roman" w:hAnsi="Times New Roman" w:cs="Times New Roman"/>
          <w:b/>
          <w:sz w:val="28"/>
          <w:szCs w:val="28"/>
        </w:rPr>
        <w:t>转移支付</w:t>
      </w:r>
      <w:r>
        <w:rPr>
          <w:rFonts w:hint="eastAsia" w:ascii="Times New Roman" w:hAnsi="Times New Roman" w:cs="Times New Roman"/>
          <w:b/>
          <w:sz w:val="28"/>
          <w:szCs w:val="28"/>
        </w:rPr>
        <w:t>项目</w:t>
      </w:r>
    </w:p>
    <w:p w14:paraId="52A24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宝坻区乡村公路日常养护及养护工程项目</w:t>
      </w:r>
      <w:r>
        <w:rPr>
          <w:rFonts w:ascii="Times New Roman" w:hAnsi="Times New Roman" w:cs="Times New Roman"/>
          <w:b/>
          <w:sz w:val="32"/>
          <w:szCs w:val="32"/>
        </w:rPr>
        <w:t>绩效自评报告</w:t>
      </w:r>
    </w:p>
    <w:p w14:paraId="15DDE028"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 w14:paraId="77E3C1EF"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项目主要内容</w:t>
      </w:r>
    </w:p>
    <w:p w14:paraId="6537F0B5"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乡村公路日常养护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</w:rPr>
        <w:t>天津市公路事业发展服务中心负责对被委托方履行职责进行考核、通报、拨款，宝坻区</w:t>
      </w:r>
      <w:r>
        <w:rPr>
          <w:rFonts w:hint="eastAsia" w:ascii="宋体" w:hAnsi="宋体" w:cs="宋体"/>
          <w:sz w:val="28"/>
          <w:szCs w:val="28"/>
          <w:lang w:eastAsia="zh-CN"/>
        </w:rPr>
        <w:t>公路养护服务中心</w:t>
      </w:r>
      <w:r>
        <w:rPr>
          <w:rFonts w:hint="eastAsia" w:ascii="宋体" w:hAnsi="宋体" w:cs="宋体"/>
          <w:sz w:val="28"/>
          <w:szCs w:val="28"/>
        </w:rPr>
        <w:t>负责本辖区内</w:t>
      </w:r>
      <w:r>
        <w:rPr>
          <w:rFonts w:hint="eastAsia" w:ascii="宋体" w:hAnsi="宋体" w:cs="宋体"/>
          <w:sz w:val="28"/>
          <w:szCs w:val="28"/>
          <w:lang w:eastAsia="zh-CN"/>
        </w:rPr>
        <w:t>乡村</w:t>
      </w:r>
      <w:r>
        <w:rPr>
          <w:rFonts w:hint="eastAsia" w:ascii="宋体" w:hAnsi="宋体" w:cs="宋体"/>
          <w:sz w:val="28"/>
          <w:szCs w:val="28"/>
        </w:rPr>
        <w:t>公路</w:t>
      </w:r>
      <w:r>
        <w:rPr>
          <w:rFonts w:hint="eastAsia" w:ascii="宋体" w:hAnsi="宋体" w:cs="宋体"/>
          <w:sz w:val="28"/>
          <w:szCs w:val="28"/>
          <w:lang w:eastAsia="zh-CN"/>
        </w:rPr>
        <w:t>日常养护及养护工程</w:t>
      </w:r>
      <w:r>
        <w:rPr>
          <w:rFonts w:hint="eastAsia" w:ascii="宋体" w:hAnsi="宋体" w:cs="宋体"/>
          <w:sz w:val="28"/>
          <w:szCs w:val="28"/>
        </w:rPr>
        <w:t>工作。主要对辖区内</w:t>
      </w:r>
      <w:r>
        <w:rPr>
          <w:rFonts w:hint="eastAsia" w:ascii="宋体" w:hAnsi="宋体" w:cs="宋体"/>
          <w:sz w:val="28"/>
          <w:szCs w:val="28"/>
          <w:lang w:eastAsia="zh-CN"/>
        </w:rPr>
        <w:t>乡村</w:t>
      </w:r>
      <w:r>
        <w:rPr>
          <w:rFonts w:hint="eastAsia" w:ascii="宋体" w:hAnsi="宋体" w:cs="宋体"/>
          <w:sz w:val="28"/>
          <w:szCs w:val="28"/>
        </w:rPr>
        <w:t>公路路基、路面、桥梁、涵洞、绿化及服务设施进行</w:t>
      </w:r>
      <w:r>
        <w:rPr>
          <w:rFonts w:hint="eastAsia" w:ascii="宋体" w:hAnsi="宋体" w:cs="宋体"/>
          <w:sz w:val="28"/>
          <w:szCs w:val="28"/>
          <w:lang w:eastAsia="zh-CN"/>
        </w:rPr>
        <w:t>日常养护</w:t>
      </w:r>
      <w:r>
        <w:rPr>
          <w:rFonts w:hint="eastAsia" w:ascii="宋体" w:hAnsi="宋体" w:cs="宋体"/>
          <w:sz w:val="28"/>
          <w:szCs w:val="28"/>
        </w:rPr>
        <w:t>工作。</w:t>
      </w:r>
    </w:p>
    <w:p w14:paraId="27CF8E6E"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实施情况</w:t>
      </w:r>
    </w:p>
    <w:p w14:paraId="59346486"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对列养的道路按照道路巡查管理办法分局、中心、站三级巡查管理，区公路站每天对列养的乡村公路进行巡查，区养护中心每周对列养道路巡查一到两次，区交通局每月对列养道路进行抽查。区公路站对道路巡查中发现问题及时处置，重大问题或不能及时处置的情况及时上报区养护中心，区养护中心安排相应部门和技术人员进行处置。区交通局每月对管辖道路进行抽查，发现问题反馈给区养护中心进行处置。</w:t>
      </w:r>
    </w:p>
    <w:p w14:paraId="46B0BD7B"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项目组织管理架构：实行直线管理模式。具体实施流程：局、中心、站三级巡查管理</w:t>
      </w:r>
    </w:p>
    <w:p w14:paraId="668C6B24"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实施主体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天津市宝坻区公路养护服务中心</w:t>
      </w:r>
    </w:p>
    <w:p w14:paraId="5E99F517"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下达</w:t>
      </w:r>
      <w:r>
        <w:rPr>
          <w:rFonts w:ascii="Times New Roman" w:hAnsi="Times New Roman" w:cs="Times New Roman"/>
          <w:b/>
          <w:bCs/>
          <w:sz w:val="28"/>
          <w:szCs w:val="28"/>
        </w:rPr>
        <w:t>预算</w:t>
      </w:r>
    </w:p>
    <w:p w14:paraId="7E20C012">
      <w:pPr>
        <w:pStyle w:val="9"/>
        <w:adjustRightInd w:val="0"/>
        <w:snapToGrid w:val="0"/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本项目</w:t>
      </w:r>
      <w:r>
        <w:rPr>
          <w:rFonts w:hint="eastAsia" w:ascii="宋体" w:hAnsi="宋体" w:cs="宋体"/>
          <w:sz w:val="28"/>
          <w:szCs w:val="28"/>
        </w:rPr>
        <w:t>申报预算资金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7.04</w:t>
      </w:r>
      <w:r>
        <w:rPr>
          <w:rFonts w:hint="eastAsia" w:ascii="宋体" w:hAnsi="宋体" w:cs="宋体"/>
          <w:sz w:val="28"/>
          <w:szCs w:val="28"/>
        </w:rPr>
        <w:t xml:space="preserve">万元，批复金额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7.04</w:t>
      </w:r>
      <w:r>
        <w:rPr>
          <w:rFonts w:hint="eastAsia" w:ascii="宋体" w:hAnsi="宋体" w:cs="宋体"/>
          <w:sz w:val="28"/>
          <w:szCs w:val="28"/>
        </w:rPr>
        <w:t>万元，实际</w:t>
      </w:r>
      <w:r>
        <w:rPr>
          <w:rFonts w:hint="eastAsia" w:ascii="宋体" w:hAnsi="宋体" w:cs="宋体"/>
          <w:sz w:val="28"/>
          <w:szCs w:val="28"/>
          <w:lang w:eastAsia="zh-CN"/>
        </w:rPr>
        <w:t>支付</w:t>
      </w:r>
      <w:r>
        <w:rPr>
          <w:rFonts w:hint="eastAsia" w:ascii="宋体" w:hAnsi="宋体" w:cs="宋体"/>
          <w:sz w:val="28"/>
          <w:szCs w:val="28"/>
        </w:rPr>
        <w:t>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7.04</w:t>
      </w:r>
      <w:r>
        <w:rPr>
          <w:rFonts w:hint="eastAsia" w:ascii="宋体" w:hAnsi="宋体" w:cs="宋体"/>
          <w:sz w:val="28"/>
          <w:szCs w:val="28"/>
        </w:rPr>
        <w:t>万元。</w:t>
      </w:r>
      <w:bookmarkStart w:id="0" w:name="_GoBack"/>
      <w:bookmarkEnd w:id="0"/>
    </w:p>
    <w:p w14:paraId="61D2B3AD"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绩效目标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情况</w:t>
      </w:r>
    </w:p>
    <w:p w14:paraId="0E6611DD"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养护里程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36.42公里；项目合格率100%；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zh-CN" w:eastAsia="zh-CN"/>
        </w:rPr>
        <w:t>对乡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村公路进行日常巡查养护；为群众提供良好的出行环境，促进地方经济发展。</w:t>
      </w:r>
    </w:p>
    <w:p w14:paraId="2B1FE3E3"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 w14:paraId="5572954D"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 w14:paraId="00D4641B"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（1）项目资金安排落实、总投入等情况分析</w:t>
      </w:r>
    </w:p>
    <w:p w14:paraId="2E1FF08C">
      <w:pPr>
        <w:pStyle w:val="9"/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1.预算资金总额：</w:t>
      </w:r>
    </w:p>
    <w:p w14:paraId="25D39908">
      <w:pPr>
        <w:pStyle w:val="9"/>
        <w:adjustRightInd w:val="0"/>
        <w:snapToGrid w:val="0"/>
        <w:spacing w:line="360" w:lineRule="auto"/>
        <w:ind w:firstLine="56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2021年乡村公路日常养护及养护工程年度预算7.04万元。</w:t>
      </w:r>
    </w:p>
    <w:p w14:paraId="71EE0D21">
      <w:pPr>
        <w:pStyle w:val="9"/>
        <w:numPr>
          <w:ilvl w:val="0"/>
          <w:numId w:val="4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资金组成</w:t>
      </w:r>
    </w:p>
    <w:p w14:paraId="11114C5C"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2021年乡村公路日常养护及养护工程年度预算市级资金7.04万元。</w:t>
      </w:r>
    </w:p>
    <w:p w14:paraId="25CE123D">
      <w:pPr>
        <w:pStyle w:val="9"/>
        <w:numPr>
          <w:ilvl w:val="0"/>
          <w:numId w:val="4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实际到位金额及资金到位率</w:t>
      </w:r>
    </w:p>
    <w:p w14:paraId="2556B067"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2021年乡村公路日常养护及养护工程年度预算市级资金7.04万元，资金到位率100%。</w:t>
      </w:r>
    </w:p>
    <w:p w14:paraId="12E1433F"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（2）项目资金实际使用情况分析</w:t>
      </w:r>
    </w:p>
    <w:p w14:paraId="703C2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</w:rPr>
        <w:t>项目实际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支付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</w:rPr>
        <w:t>金额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及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预算执行率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2023年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到位资金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7.04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万元，全年执行资金总额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7.04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万元，执行率100%。</w:t>
      </w:r>
    </w:p>
    <w:p w14:paraId="22104764"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 w14:paraId="100D3FEB"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2021年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乡村公路日常养护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highlight w:val="none"/>
        </w:rPr>
        <w:t>实施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乡村</w:t>
      </w:r>
      <w:r>
        <w:rPr>
          <w:rFonts w:hint="eastAsia" w:ascii="宋体" w:hAnsi="宋体" w:cs="宋体"/>
          <w:sz w:val="28"/>
          <w:szCs w:val="28"/>
          <w:highlight w:val="none"/>
        </w:rPr>
        <w:t>公路设施的日常养护工作。完成我区域国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乡村</w:t>
      </w:r>
      <w:r>
        <w:rPr>
          <w:rFonts w:hint="eastAsia" w:ascii="宋体" w:hAnsi="宋体" w:cs="宋体"/>
          <w:sz w:val="28"/>
          <w:szCs w:val="28"/>
          <w:highlight w:val="none"/>
        </w:rPr>
        <w:t>公路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4条，总里程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36.42</w:t>
      </w:r>
      <w:r>
        <w:rPr>
          <w:rFonts w:hint="eastAsia" w:ascii="宋体" w:hAnsi="宋体" w:cs="宋体"/>
          <w:sz w:val="28"/>
          <w:szCs w:val="28"/>
          <w:highlight w:val="none"/>
        </w:rPr>
        <w:t>公里，路面面积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182.1</w:t>
      </w:r>
      <w:r>
        <w:rPr>
          <w:rFonts w:hint="eastAsia" w:ascii="宋体" w:hAnsi="宋体" w:cs="宋体"/>
          <w:sz w:val="28"/>
          <w:szCs w:val="28"/>
          <w:highlight w:val="none"/>
        </w:rPr>
        <w:t>万平米，中小桥面积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宋体" w:hAnsi="宋体" w:cs="宋体"/>
          <w:sz w:val="28"/>
          <w:szCs w:val="28"/>
          <w:highlight w:val="none"/>
        </w:rPr>
        <w:t>万平米。为群众提供良好的出行环境，促进地方经济发展。</w:t>
      </w:r>
    </w:p>
    <w:p w14:paraId="19260CC2">
      <w:pPr>
        <w:ind w:left="562"/>
        <w:rPr>
          <w:rFonts w:hint="eastAsia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b/>
          <w:sz w:val="28"/>
          <w:szCs w:val="28"/>
          <w:highlight w:val="none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  <w:highlight w:val="none"/>
        </w:rPr>
        <w:t>绩效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>指标完成情况分析</w:t>
      </w:r>
    </w:p>
    <w:p w14:paraId="10404EB8"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2021年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乡村公路日常养护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：按时按质完成乡村公路日常养护及养护工程36.42公里，项目合格率100%。促进所辖乡村公路畅通、乡养护单位及周边居民满意度达标。日常养护期限为2021年全年；在年度预算范围内完成养护工作；提升公路养管水平、养护质量和养护效率，确保公路完好畅通；周边居民满意度达到100%。</w:t>
      </w:r>
    </w:p>
    <w:p w14:paraId="774659DD"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偏离</w:t>
      </w:r>
      <w:r>
        <w:rPr>
          <w:rFonts w:ascii="Times New Roman" w:hAnsi="Times New Roman"/>
          <w:b/>
          <w:sz w:val="28"/>
          <w:szCs w:val="28"/>
        </w:rPr>
        <w:t>绩效目标的原因和下一步改进措施</w:t>
      </w:r>
      <w:r>
        <w:rPr>
          <w:rFonts w:hint="default" w:ascii="Times New Roman" w:hAnsi="Times New Roman"/>
          <w:b/>
          <w:sz w:val="28"/>
          <w:szCs w:val="28"/>
          <w:lang w:val="en"/>
        </w:rPr>
        <w:t>:</w:t>
      </w:r>
      <w:r>
        <w:rPr>
          <w:rFonts w:hint="eastAsia" w:ascii="Times New Roman" w:hAnsi="Times New Roman"/>
          <w:b/>
          <w:sz w:val="28"/>
          <w:szCs w:val="28"/>
          <w:lang w:val="en" w:eastAsia="zh-CN"/>
        </w:rPr>
        <w:t>无</w:t>
      </w:r>
    </w:p>
    <w:p w14:paraId="2EDD525B"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绩效</w:t>
      </w:r>
      <w:r>
        <w:rPr>
          <w:rFonts w:ascii="Times New Roman" w:hAnsi="Times New Roman"/>
          <w:b/>
          <w:sz w:val="28"/>
          <w:szCs w:val="28"/>
        </w:rPr>
        <w:t>自评结果拟应用和公开情况</w:t>
      </w:r>
    </w:p>
    <w:p w14:paraId="1331E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本项目自评结果将随部门决算，在人民政府网进行公开。</w:t>
      </w:r>
    </w:p>
    <w:p w14:paraId="7C1C1A14"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其他</w:t>
      </w:r>
      <w:r>
        <w:rPr>
          <w:rFonts w:ascii="Times New Roman" w:hAnsi="Times New Roman"/>
          <w:b/>
          <w:sz w:val="28"/>
          <w:szCs w:val="28"/>
        </w:rPr>
        <w:t>需要说明的问题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：无</w:t>
      </w:r>
    </w:p>
    <w:p w14:paraId="18067893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附件</w:t>
      </w:r>
      <w:r>
        <w:rPr>
          <w:rFonts w:ascii="Times New Roman" w:hAnsi="Times New Roman"/>
          <w:b/>
          <w:sz w:val="28"/>
          <w:szCs w:val="28"/>
        </w:rPr>
        <w:t>：绩效目标自评表</w:t>
      </w:r>
    </w:p>
    <w:p w14:paraId="6179923A">
      <w:pPr>
        <w:jc w:val="left"/>
        <w:rPr>
          <w:rFonts w:hint="eastAsia" w:ascii="Times New Roman" w:hAnsi="Times New Roman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34B2C"/>
    <w:multiLevelType w:val="singleLevel"/>
    <w:tmpl w:val="92B34B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00773C"/>
    <w:multiLevelType w:val="singleLevel"/>
    <w:tmpl w:val="A50077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23AB5"/>
    <w:multiLevelType w:val="singleLevel"/>
    <w:tmpl w:val="6B423A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NjM2MDBlNjI4Yjc1ZDgyZTE1YmNlODQ1YTNmOGEifQ=="/>
  </w:docVars>
  <w:rsids>
    <w:rsidRoot w:val="00DE3E7F"/>
    <w:rsid w:val="00226B4A"/>
    <w:rsid w:val="00445800"/>
    <w:rsid w:val="00A64C47"/>
    <w:rsid w:val="00D032B8"/>
    <w:rsid w:val="00D81145"/>
    <w:rsid w:val="00DB33A5"/>
    <w:rsid w:val="00DE3E7F"/>
    <w:rsid w:val="0332621A"/>
    <w:rsid w:val="0549447F"/>
    <w:rsid w:val="0BDE2A9B"/>
    <w:rsid w:val="120A7620"/>
    <w:rsid w:val="141F5AA1"/>
    <w:rsid w:val="18201CBD"/>
    <w:rsid w:val="1D831FFA"/>
    <w:rsid w:val="1EDF3668"/>
    <w:rsid w:val="249D7A74"/>
    <w:rsid w:val="259D2276"/>
    <w:rsid w:val="2E162111"/>
    <w:rsid w:val="37B37807"/>
    <w:rsid w:val="3D071C79"/>
    <w:rsid w:val="3FDC7088"/>
    <w:rsid w:val="44B516F1"/>
    <w:rsid w:val="4667376F"/>
    <w:rsid w:val="4BC86968"/>
    <w:rsid w:val="4FC12959"/>
    <w:rsid w:val="53EB5322"/>
    <w:rsid w:val="57A502E7"/>
    <w:rsid w:val="596C6F3A"/>
    <w:rsid w:val="5C0918B7"/>
    <w:rsid w:val="61642270"/>
    <w:rsid w:val="6B4A24D7"/>
    <w:rsid w:val="6E4B2619"/>
    <w:rsid w:val="70161521"/>
    <w:rsid w:val="7E4C977A"/>
    <w:rsid w:val="7F005876"/>
    <w:rsid w:val="7F5D9622"/>
    <w:rsid w:val="7FE44850"/>
    <w:rsid w:val="FF58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1024</Words>
  <Characters>1113</Characters>
  <Lines>3</Lines>
  <Paragraphs>1</Paragraphs>
  <TotalTime>5</TotalTime>
  <ScaleCrop>false</ScaleCrop>
  <LinksUpToDate>false</LinksUpToDate>
  <CharactersWithSpaces>1114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2021-03-20T15:10:00Z</dcterms:created>
  <dc:creator>Uber</dc:creator>
  <cp:lastModifiedBy>00</cp:lastModifiedBy>
  <dcterms:modified xsi:type="dcterms:W3CDTF">2024-07-16T01:17:31Z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8B696FC832B74DD785F6729A3DA7E0B3_13</vt:lpwstr>
  </property>
</Properties>
</file>