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14:paraId="469CE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6" w:hRule="atLeast"/>
        </w:trPr>
        <w:tc>
          <w:tcPr>
            <w:tcW w:w="9288" w:type="dxa"/>
          </w:tcPr>
          <w:p w14:paraId="5248DA48">
            <w:pPr>
              <w:keepNext w:val="0"/>
              <w:keepLines w:val="0"/>
              <w:pageBreakBefore w:val="0"/>
              <w:widowControl w:val="0"/>
              <w:tabs>
                <w:tab w:val="left" w:pos="420"/>
              </w:tabs>
              <w:kinsoku/>
              <w:wordWrap/>
              <w:overflowPunct/>
              <w:topLinePunct w:val="0"/>
              <w:autoSpaceDE/>
              <w:autoSpaceDN/>
              <w:bidi w:val="0"/>
              <w:adjustRightInd/>
              <w:snapToGrid/>
              <w:spacing w:line="260" w:lineRule="exact"/>
              <w:textAlignment w:val="auto"/>
              <w:rPr>
                <w:rFonts w:hint="default" w:ascii="仿宋_GB2312" w:hAnsi="宋体" w:eastAsia="仿宋_GB2312"/>
                <w:szCs w:val="21"/>
                <w:lang w:val="en-US" w:eastAsia="zh-CN"/>
              </w:rPr>
            </w:pPr>
          </w:p>
          <w:p w14:paraId="39F608C6">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hint="eastAsia" w:ascii="仿宋_GB2312" w:hAnsi="宋体" w:eastAsia="仿宋_GB2312"/>
                <w:szCs w:val="21"/>
              </w:rPr>
            </w:pPr>
            <w:r>
              <w:rPr>
                <w:rFonts w:hint="eastAsia" w:ascii="仿宋_GB2312" w:hAnsi="宋体" w:eastAsia="仿宋_GB2312"/>
                <w:szCs w:val="21"/>
              </w:rPr>
              <w:t>审批意见：</w:t>
            </w:r>
            <w:r>
              <w:rPr>
                <w:rFonts w:hint="eastAsia" w:ascii="仿宋_GB2312" w:hAnsi="宋体" w:eastAsia="仿宋_GB2312"/>
                <w:szCs w:val="21"/>
                <w:lang w:val="en-US" w:eastAsia="zh-CN"/>
              </w:rPr>
              <w:t xml:space="preserve">                                               </w:t>
            </w:r>
            <w:r>
              <w:rPr>
                <w:rFonts w:hint="eastAsia" w:ascii="仿宋_GB2312" w:hAnsi="宋体" w:eastAsia="仿宋_GB2312"/>
                <w:szCs w:val="21"/>
              </w:rPr>
              <w:t>津宝审批许可﹝202</w:t>
            </w:r>
            <w:r>
              <w:rPr>
                <w:rFonts w:hint="eastAsia" w:ascii="仿宋_GB2312" w:hAnsi="宋体" w:eastAsia="仿宋_GB2312"/>
                <w:szCs w:val="21"/>
                <w:lang w:val="en-US" w:eastAsia="zh-CN"/>
              </w:rPr>
              <w:t>5</w:t>
            </w:r>
            <w:r>
              <w:rPr>
                <w:rFonts w:hint="eastAsia" w:ascii="仿宋_GB2312" w:hAnsi="宋体" w:eastAsia="仿宋_GB2312"/>
                <w:szCs w:val="21"/>
              </w:rPr>
              <w:t>﹞</w:t>
            </w:r>
            <w:r>
              <w:rPr>
                <w:rFonts w:hint="eastAsia" w:ascii="仿宋_GB2312" w:hAnsi="宋体" w:eastAsia="仿宋_GB2312"/>
                <w:szCs w:val="21"/>
                <w:lang w:val="en-US" w:eastAsia="zh-CN"/>
              </w:rPr>
              <w:t>59</w:t>
            </w:r>
            <w:r>
              <w:rPr>
                <w:rFonts w:hint="eastAsia" w:ascii="仿宋_GB2312" w:hAnsi="宋体" w:eastAsia="仿宋_GB2312"/>
                <w:szCs w:val="21"/>
              </w:rPr>
              <w:t>号</w:t>
            </w:r>
          </w:p>
          <w:p w14:paraId="3190BA54">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2403-120115-89-03-441864</w:t>
            </w:r>
          </w:p>
          <w:p w14:paraId="7942E542">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hint="eastAsia" w:ascii="仿宋_GB2312" w:hAnsi="宋体" w:eastAsia="仿宋_GB2312"/>
                <w:szCs w:val="21"/>
                <w:lang w:val="en-US" w:eastAsia="zh-CN"/>
              </w:rPr>
            </w:pPr>
            <w:bookmarkStart w:id="0" w:name="_GoBack"/>
            <w:r>
              <w:rPr>
                <w:rFonts w:hint="eastAsia" w:ascii="仿宋_GB2312" w:hAnsi="宋体" w:eastAsia="仿宋_GB2312"/>
                <w:szCs w:val="21"/>
                <w:lang w:val="en-US" w:eastAsia="zh-CN"/>
              </w:rPr>
              <w:t>天津胜环喷涂加工有限公司新建年产20000件汽车零部件项目</w:t>
            </w:r>
            <w:bookmarkEnd w:id="0"/>
            <w:r>
              <w:rPr>
                <w:rFonts w:hint="eastAsia" w:ascii="仿宋_GB2312" w:hAnsi="宋体" w:eastAsia="仿宋_GB2312"/>
                <w:szCs w:val="21"/>
                <w:lang w:val="en-US" w:eastAsia="zh-CN"/>
              </w:rPr>
              <w:t>租用天津市圣德璐家具有限公司位于宝坻区方家庄镇产业功能园区北桥主路北侧圣德璐沙发厂院内三号厂房和四号厂房的一半。建设内容为利用厂房内原有两座干式喷漆房（喷漆房1#、喷漆房2#）和两座晾干房（晾干房1#、晾干房2#），新增两座水帘喷漆房（喷漆房3#、喷漆房4#）、两座晾干房（晾干房3#、晾干房4#）、砂轮机和打磨除尘柜等生产设备及废气治理设施。总投资500万元，环保投资42万元。</w:t>
            </w:r>
            <w:r>
              <w:rPr>
                <w:rFonts w:hint="eastAsia" w:ascii="仿宋_GB2312" w:hAnsi="宋体" w:eastAsia="仿宋_GB2312"/>
                <w:szCs w:val="21"/>
              </w:rPr>
              <w:t>经研究，现批复如下：</w:t>
            </w:r>
          </w:p>
          <w:p w14:paraId="7BA2F38A">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一、该项目符合国家、天津市产业政策和清洁生产要求，符合宝坻</w:t>
            </w:r>
            <w:r>
              <w:rPr>
                <w:rFonts w:hint="eastAsia" w:ascii="仿宋_GB2312" w:hAnsi="宋体" w:eastAsia="仿宋_GB2312"/>
                <w:color w:val="000000" w:themeColor="text1"/>
                <w:szCs w:val="21"/>
                <w:lang w:val="en-US" w:eastAsia="zh-CN"/>
                <w14:textFill>
                  <w14:solidFill>
                    <w14:schemeClr w14:val="tx1"/>
                  </w14:solidFill>
                </w14:textFill>
              </w:rPr>
              <w:t>区总体规划，选址可行，2025年3月3日—2025年3月7日我局将该项目环境影响评价的有关情况和环境影响报告表全本在网站进行了公示，无反对意见。在严格落实各项环保措施的前提下，我局同意该项目建设</w:t>
            </w:r>
            <w:r>
              <w:rPr>
                <w:rFonts w:hint="eastAsia" w:ascii="仿宋_GB2312" w:hAnsi="宋体" w:eastAsia="仿宋_GB2312"/>
                <w:szCs w:val="21"/>
                <w:lang w:val="en-US" w:eastAsia="zh-CN"/>
              </w:rPr>
              <w:t>。</w:t>
            </w:r>
          </w:p>
          <w:p w14:paraId="460C0BD8">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ascii="仿宋_GB2312" w:hAnsi="宋体" w:eastAsia="仿宋_GB2312"/>
                <w:szCs w:val="21"/>
              </w:rPr>
            </w:pPr>
            <w:r>
              <w:rPr>
                <w:rFonts w:hint="eastAsia" w:ascii="仿宋_GB2312" w:hAnsi="宋体" w:eastAsia="仿宋_GB2312"/>
                <w:szCs w:val="21"/>
                <w:lang w:val="en-US" w:eastAsia="zh-CN"/>
              </w:rPr>
              <w:t>二、项目在实施过程中要严格落实环境影响报告表提出的各项对策措施，并重点做好以下工作</w:t>
            </w:r>
            <w:r>
              <w:rPr>
                <w:rFonts w:hint="eastAsia" w:ascii="仿宋_GB2312" w:hAnsi="宋体" w:eastAsia="仿宋_GB2312"/>
                <w:szCs w:val="21"/>
              </w:rPr>
              <w:t>：</w:t>
            </w:r>
          </w:p>
          <w:p w14:paraId="2F8AFB45">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hint="default" w:ascii="仿宋_GB2312" w:hAnsi="宋体" w:eastAsia="仿宋_GB2312"/>
                <w:szCs w:val="21"/>
                <w:lang w:val="en-US" w:eastAsia="zh-CN"/>
              </w:rPr>
            </w:pPr>
            <w:r>
              <w:rPr>
                <w:rFonts w:hint="eastAsia" w:ascii="仿宋_GB2312" w:hAnsi="宋体" w:eastAsia="仿宋_GB2312"/>
                <w:szCs w:val="21"/>
              </w:rPr>
              <w:t>1、</w:t>
            </w:r>
            <w:r>
              <w:rPr>
                <w:rFonts w:hint="eastAsia" w:ascii="仿宋_GB2312" w:hAnsi="宋体" w:eastAsia="仿宋_GB2312"/>
                <w:szCs w:val="21"/>
                <w:lang w:val="en-US" w:eastAsia="zh-CN"/>
              </w:rPr>
              <w:t>废气：本项目喷漆房1#及晾干房1#产生的有机废气经负压收集，漆雾经干式过滤器处理后，进入活性炭吸附脱附+催化燃烧(#1)处理；喷漆房3#及晾干房3#产生的有机废气经负压收集，漆雾经水帘柜处理后进入活性炭吸附脱附+催化燃烧(#1)处理，二者尾气共同由1根新建18m高排气筒达标排放。喷漆房2#及晾干房2#产生的有机废气经负压收集，漆雾经干式过滤器处理后，进入活性炭吸附脱附+催化燃烧(#2)处理；喷漆房4#及晾干房4#产生的有机废气经负压收集，漆雾经水帘柜处理后进入活性炭吸附脱附+催化燃烧(#2)处理，二者尾气共同由1根新建18m高排气筒达标排放。打磨工序产生的废气经打磨除尘柜收集处理后，由1根新建18m高排气筒达标排放。未捕集部分无组织排放须满足厂界限值要求。</w:t>
            </w:r>
          </w:p>
          <w:p w14:paraId="24B4A9FB">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hint="default" w:ascii="仿宋_GB2312" w:hAnsi="宋体" w:eastAsia="仿宋_GB2312"/>
                <w:szCs w:val="21"/>
                <w:lang w:val="en-US" w:eastAsia="zh-CN"/>
              </w:rPr>
            </w:pPr>
            <w:r>
              <w:rPr>
                <w:rFonts w:hint="eastAsia" w:ascii="仿宋_GB2312" w:hAnsi="宋体" w:eastAsia="仿宋_GB2312"/>
                <w:szCs w:val="21"/>
              </w:rPr>
              <w:t>2、</w:t>
            </w:r>
            <w:r>
              <w:rPr>
                <w:rFonts w:hint="eastAsia" w:ascii="仿宋_GB2312" w:hAnsi="宋体" w:eastAsia="仿宋_GB2312"/>
                <w:szCs w:val="21"/>
                <w:lang w:val="en-US" w:eastAsia="zh-CN"/>
              </w:rPr>
              <w:t>废水:生活污水经化粪池沉淀后与抹布清洗废水通过污水总排口进入市政管网，最终排入方家庄镇工业园区污水处理厂集中处理。</w:t>
            </w:r>
          </w:p>
          <w:p w14:paraId="091F6B65">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ascii="仿宋_GB2312" w:hAnsi="宋体" w:eastAsia="仿宋_GB2312"/>
                <w:szCs w:val="21"/>
              </w:rPr>
            </w:pPr>
            <w:r>
              <w:rPr>
                <w:rFonts w:hint="eastAsia" w:ascii="仿宋_GB2312" w:hAnsi="宋体" w:eastAsia="仿宋_GB2312"/>
                <w:szCs w:val="21"/>
              </w:rPr>
              <w:t>3、</w:t>
            </w:r>
            <w:r>
              <w:rPr>
                <w:rFonts w:hint="eastAsia" w:ascii="仿宋_GB2312" w:hAnsi="宋体" w:eastAsia="仿宋_GB2312"/>
                <w:szCs w:val="21"/>
                <w:lang w:val="en-US" w:eastAsia="zh-CN"/>
              </w:rPr>
              <w:t>噪声：主要噪声源应选用低噪声设备，基础减振、管道软连接、风机设置隔声罩以及距离衰减等减振降噪声措施后，确保厂界噪声达标</w:t>
            </w:r>
            <w:r>
              <w:rPr>
                <w:rFonts w:hint="eastAsia" w:ascii="仿宋_GB2312" w:hAnsi="宋体" w:eastAsia="仿宋_GB2312"/>
                <w:szCs w:val="21"/>
              </w:rPr>
              <w:t>。</w:t>
            </w:r>
          </w:p>
          <w:p w14:paraId="09BE4D54">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hint="default" w:ascii="仿宋_GB2312" w:hAnsi="宋体" w:eastAsia="仿宋_GB2312"/>
                <w:szCs w:val="21"/>
                <w:lang w:val="en-US" w:eastAsia="zh-CN"/>
              </w:rPr>
            </w:pPr>
            <w:r>
              <w:rPr>
                <w:rFonts w:hint="eastAsia" w:ascii="仿宋_GB2312" w:hAnsi="宋体" w:eastAsia="仿宋_GB2312"/>
                <w:szCs w:val="21"/>
                <w:lang w:val="en-US" w:eastAsia="zh-CN"/>
              </w:rPr>
              <w:t>4、固废：新增一般固体废物为不合格品、废包装物、废砂轮、废塑料屑、废催化剂等，除废催化剂由厂家回收处理外，其他均定期由物资部门回收；新增危险废物为废抹布、废漆桶、废过滤棉、废地毡、废漆渣、水帘废液、废活性炭、除尘灰、废机油、废油桶、含油棉纱等，须设置暂存场所，定期委托有资质单位处置；生活垃圾由城市管理部门定期清运。</w:t>
            </w:r>
          </w:p>
          <w:p w14:paraId="75A21876">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ascii="仿宋_GB2312" w:hAnsi="宋体" w:eastAsia="仿宋_GB2312"/>
                <w:szCs w:val="21"/>
              </w:rPr>
            </w:pPr>
            <w:r>
              <w:rPr>
                <w:rFonts w:hint="eastAsia" w:ascii="仿宋_GB2312" w:hAnsi="宋体" w:eastAsia="仿宋_GB2312"/>
                <w:szCs w:val="21"/>
              </w:rPr>
              <w:t>5、按照《关于加强我市排放口规范化整治工作的通知》（津环保监理[2002]71号）和《关于发布&lt;天津市污染源排放口规范化技术要求&gt;的通知》（津环保监测［2007］57号）的要求,落实排污口规范化有关工作。</w:t>
            </w:r>
          </w:p>
          <w:p w14:paraId="5DF8E7E7">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ascii="仿宋_GB2312" w:hAnsi="宋体" w:eastAsia="仿宋_GB2312"/>
                <w:szCs w:val="21"/>
              </w:rPr>
            </w:pPr>
            <w:r>
              <w:rPr>
                <w:rFonts w:hint="eastAsia" w:ascii="仿宋_GB2312" w:hAnsi="宋体" w:eastAsia="仿宋_GB2312"/>
                <w:szCs w:val="21"/>
              </w:rPr>
              <w:t>6、要建立环保管理和监测机构，制定规章制度，加强环保设施的运行管理和监测。</w:t>
            </w:r>
          </w:p>
          <w:p w14:paraId="0C642079">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hint="default" w:ascii="仿宋_GB2312" w:hAnsi="宋体" w:eastAsia="仿宋_GB2312"/>
                <w:szCs w:val="21"/>
                <w:lang w:val="en-US" w:eastAsia="zh-CN"/>
              </w:rPr>
            </w:pPr>
            <w:r>
              <w:rPr>
                <w:rFonts w:hint="eastAsia" w:ascii="仿宋_GB2312" w:hAnsi="宋体" w:eastAsia="仿宋_GB2312"/>
                <w:szCs w:val="21"/>
              </w:rPr>
              <w:t>7、做好安全风险辨识，按照相关要求落实环境风险应急</w:t>
            </w:r>
            <w:r>
              <w:rPr>
                <w:rFonts w:hint="eastAsia" w:ascii="仿宋_GB2312" w:hAnsi="宋体" w:eastAsia="仿宋_GB2312"/>
                <w:szCs w:val="21"/>
                <w:lang w:val="en-US" w:eastAsia="zh-CN"/>
              </w:rPr>
              <w:t>工作。</w:t>
            </w:r>
          </w:p>
          <w:p w14:paraId="14FD2630">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三、本项目新增主要污染物排放总量应控制在下列范围内:COD0.0591t/a；氨氮0.0051t/a；VOCs0.508t/a。</w:t>
            </w:r>
          </w:p>
          <w:p w14:paraId="393EAE76">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ascii="仿宋_GB2312" w:hAnsi="宋体" w:eastAsia="仿宋_GB2312"/>
                <w:szCs w:val="21"/>
              </w:rPr>
            </w:pPr>
            <w:r>
              <w:rPr>
                <w:rFonts w:hint="eastAsia" w:ascii="仿宋_GB2312" w:hAnsi="宋体" w:eastAsia="仿宋_GB2312"/>
                <w:szCs w:val="21"/>
              </w:rPr>
              <w:t>四、总量做为项目环评批复纳入排污许可证；项目实施要严格执行环保设施与主体工程同时设计、同时施工、同时投产使用的“三同时”制度。待取得排污许可证并按相关要求完成验收后，方可正式投产。</w:t>
            </w:r>
          </w:p>
          <w:p w14:paraId="12AEA7FD">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五、该项目应执行以下环境标准：</w:t>
            </w:r>
          </w:p>
          <w:p w14:paraId="5A7E25F6">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1、《大气污染物综合排放标准》GB16297-1996；</w:t>
            </w:r>
          </w:p>
          <w:p w14:paraId="1D1C4056">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2、《工业企业挥发性有机物排放控制标准》DB12/524-2020；</w:t>
            </w:r>
          </w:p>
          <w:p w14:paraId="4D17F8B1">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3、《恶臭污染物排放标准》DB12/059-2018；</w:t>
            </w:r>
          </w:p>
          <w:p w14:paraId="60AB595D">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4、《污水综合排放标准》DB12/356-2018（三级）；</w:t>
            </w:r>
          </w:p>
          <w:p w14:paraId="11CAC92C">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5、《建筑施工场界环境噪声排放标准》GB12523-2011；</w:t>
            </w:r>
          </w:p>
          <w:p w14:paraId="14ED7FF7">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hint="eastAsia"/>
                <w:lang w:val="en-US" w:eastAsia="zh-CN"/>
              </w:rPr>
            </w:pPr>
            <w:r>
              <w:rPr>
                <w:rFonts w:hint="eastAsia" w:ascii="仿宋_GB2312" w:hAnsi="宋体" w:eastAsia="仿宋_GB2312" w:cs="Times New Roman"/>
                <w:szCs w:val="21"/>
                <w:lang w:val="en-US" w:eastAsia="zh-CN"/>
              </w:rPr>
              <w:t>6、《工业企业厂界环境噪声排放标准》GB 12348-2008（3类）；</w:t>
            </w:r>
          </w:p>
          <w:p w14:paraId="0C44E9D0">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7、《一般工业固体废物贮存和填埋污染控制标准》GB18599-2020；</w:t>
            </w:r>
          </w:p>
          <w:p w14:paraId="05D430D5">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8、《危险废物贮存污染控制标准》GB 18597-2023；</w:t>
            </w:r>
          </w:p>
          <w:p w14:paraId="6592099F">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9、《危险废物收集、贮存、运输技术规范》HJ 2025-2012；</w:t>
            </w:r>
          </w:p>
          <w:p w14:paraId="2E5DD796">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420" w:firstLineChars="200"/>
              <w:textAlignment w:val="auto"/>
              <w:rPr>
                <w:rFonts w:hint="default"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10、</w:t>
            </w:r>
            <w:r>
              <w:rPr>
                <w:rFonts w:hint="default" w:ascii="仿宋_GB2312" w:hAnsi="宋体" w:eastAsia="仿宋_GB2312" w:cs="Times New Roman"/>
                <w:szCs w:val="21"/>
                <w:lang w:val="en-US" w:eastAsia="zh-CN"/>
              </w:rPr>
              <w:t>《天津市生活废弃物管理规定》</w:t>
            </w:r>
            <w:r>
              <w:rPr>
                <w:rFonts w:hint="eastAsia" w:ascii="仿宋_GB2312" w:hAnsi="宋体" w:eastAsia="仿宋_GB2312" w:cs="Times New Roman"/>
                <w:szCs w:val="21"/>
                <w:lang w:val="en-US" w:eastAsia="zh-CN"/>
              </w:rPr>
              <w:t>。</w:t>
            </w:r>
          </w:p>
          <w:p w14:paraId="2A6FEB6C">
            <w:pPr>
              <w:keepNext w:val="0"/>
              <w:keepLines w:val="0"/>
              <w:pageBreakBefore w:val="0"/>
              <w:widowControl w:val="0"/>
              <w:tabs>
                <w:tab w:val="left" w:pos="420"/>
              </w:tabs>
              <w:kinsoku/>
              <w:wordWrap/>
              <w:overflowPunct/>
              <w:topLinePunct w:val="0"/>
              <w:autoSpaceDE/>
              <w:autoSpaceDN/>
              <w:bidi w:val="0"/>
              <w:adjustRightInd/>
              <w:snapToGrid/>
              <w:spacing w:line="260" w:lineRule="exact"/>
              <w:ind w:firstLine="7560" w:firstLineChars="3600"/>
              <w:textAlignment w:val="auto"/>
              <w:rPr>
                <w:rFonts w:ascii="仿宋_GB2312" w:hAnsi="宋体" w:eastAsia="仿宋_GB2312"/>
                <w:szCs w:val="21"/>
              </w:rPr>
            </w:pPr>
            <w:r>
              <w:rPr>
                <w:rFonts w:hint="eastAsia" w:ascii="仿宋_GB2312" w:hAnsi="宋体" w:eastAsia="仿宋_GB2312"/>
                <w:szCs w:val="21"/>
              </w:rPr>
              <w:t>公   章</w:t>
            </w:r>
          </w:p>
          <w:p w14:paraId="23B1F836">
            <w:pPr>
              <w:keepNext w:val="0"/>
              <w:keepLines w:val="0"/>
              <w:pageBreakBefore w:val="0"/>
              <w:widowControl w:val="0"/>
              <w:tabs>
                <w:tab w:val="left" w:pos="420"/>
              </w:tabs>
              <w:kinsoku/>
              <w:wordWrap/>
              <w:overflowPunct/>
              <w:topLinePunct w:val="0"/>
              <w:autoSpaceDE/>
              <w:autoSpaceDN/>
              <w:bidi w:val="0"/>
              <w:adjustRightInd/>
              <w:snapToGrid/>
              <w:spacing w:line="260" w:lineRule="exact"/>
              <w:textAlignment w:val="auto"/>
              <w:rPr>
                <w:rFonts w:ascii="仿宋_GB2312" w:hAnsi="宋体" w:eastAsia="仿宋_GB2312"/>
                <w:szCs w:val="21"/>
              </w:rPr>
            </w:pPr>
            <w:r>
              <w:rPr>
                <w:rFonts w:hint="eastAsia" w:ascii="仿宋_GB2312" w:hAnsi="宋体" w:eastAsia="仿宋_GB2312"/>
                <w:szCs w:val="21"/>
              </w:rPr>
              <w:t xml:space="preserve">                                                                   </w:t>
            </w:r>
            <w:r>
              <w:rPr>
                <w:rFonts w:hint="eastAsia" w:ascii="仿宋_GB2312" w:hAnsi="宋体" w:eastAsia="仿宋_GB2312"/>
                <w:szCs w:val="21"/>
                <w:lang w:val="en-US" w:eastAsia="zh-CN"/>
              </w:rPr>
              <w:t xml:space="preserve"> </w:t>
            </w:r>
            <w:r>
              <w:rPr>
                <w:rFonts w:hint="eastAsia" w:ascii="仿宋_GB2312" w:hAnsi="宋体" w:eastAsia="仿宋_GB2312"/>
                <w:szCs w:val="21"/>
              </w:rPr>
              <w:t>202</w:t>
            </w:r>
            <w:r>
              <w:rPr>
                <w:rFonts w:hint="eastAsia" w:ascii="仿宋_GB2312" w:hAnsi="宋体" w:eastAsia="仿宋_GB2312"/>
                <w:szCs w:val="21"/>
                <w:lang w:val="en-US" w:eastAsia="zh-CN"/>
              </w:rPr>
              <w:t>5</w:t>
            </w:r>
            <w:r>
              <w:rPr>
                <w:rFonts w:hint="eastAsia" w:ascii="仿宋_GB2312" w:hAnsi="宋体" w:eastAsia="仿宋_GB2312"/>
                <w:szCs w:val="21"/>
              </w:rPr>
              <w:t>年</w:t>
            </w:r>
            <w:r>
              <w:rPr>
                <w:rFonts w:hint="eastAsia" w:ascii="仿宋_GB2312" w:hAnsi="宋体" w:eastAsia="仿宋_GB2312"/>
                <w:szCs w:val="21"/>
                <w:lang w:val="en-US" w:eastAsia="zh-CN"/>
              </w:rPr>
              <w:t>4</w:t>
            </w:r>
            <w:r>
              <w:rPr>
                <w:rFonts w:hint="eastAsia" w:ascii="仿宋_GB2312" w:hAnsi="宋体" w:eastAsia="仿宋_GB2312"/>
                <w:szCs w:val="21"/>
              </w:rPr>
              <w:t>月</w:t>
            </w:r>
            <w:r>
              <w:rPr>
                <w:rFonts w:hint="eastAsia" w:ascii="仿宋_GB2312" w:hAnsi="宋体" w:eastAsia="仿宋_GB2312"/>
                <w:szCs w:val="21"/>
                <w:lang w:val="en-US" w:eastAsia="zh-CN"/>
              </w:rPr>
              <w:t>1</w:t>
            </w:r>
            <w:r>
              <w:rPr>
                <w:rFonts w:hint="eastAsia" w:ascii="仿宋_GB2312" w:hAnsi="宋体" w:eastAsia="仿宋_GB2312"/>
                <w:szCs w:val="21"/>
              </w:rPr>
              <w:t>日</w:t>
            </w:r>
          </w:p>
        </w:tc>
      </w:tr>
    </w:tbl>
    <w:p w14:paraId="681EE9E0">
      <w:pPr>
        <w:spacing w:line="300" w:lineRule="exact"/>
      </w:pPr>
    </w:p>
    <w:sectPr>
      <w:pgSz w:w="11906" w:h="16838"/>
      <w:pgMar w:top="1440" w:right="1418" w:bottom="85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ODdmNThmY2U3ZDUxMTE2MTI4NGVhN2VjOTg4MTEifQ=="/>
  </w:docVars>
  <w:rsids>
    <w:rsidRoot w:val="00172A27"/>
    <w:rsid w:val="00006425"/>
    <w:rsid w:val="000507B4"/>
    <w:rsid w:val="00122A6E"/>
    <w:rsid w:val="00132C61"/>
    <w:rsid w:val="00172A27"/>
    <w:rsid w:val="00187CAD"/>
    <w:rsid w:val="00217B03"/>
    <w:rsid w:val="00232684"/>
    <w:rsid w:val="0026349E"/>
    <w:rsid w:val="002803A2"/>
    <w:rsid w:val="002874B1"/>
    <w:rsid w:val="002C006B"/>
    <w:rsid w:val="002C7F7F"/>
    <w:rsid w:val="00325853"/>
    <w:rsid w:val="00325B49"/>
    <w:rsid w:val="00374737"/>
    <w:rsid w:val="003A5C19"/>
    <w:rsid w:val="003F6AA4"/>
    <w:rsid w:val="00401AA4"/>
    <w:rsid w:val="00405548"/>
    <w:rsid w:val="004816EE"/>
    <w:rsid w:val="00493978"/>
    <w:rsid w:val="004D052E"/>
    <w:rsid w:val="004F73B7"/>
    <w:rsid w:val="005B3105"/>
    <w:rsid w:val="005E29D0"/>
    <w:rsid w:val="00643DCC"/>
    <w:rsid w:val="00653B07"/>
    <w:rsid w:val="00745CDB"/>
    <w:rsid w:val="00772A83"/>
    <w:rsid w:val="007A046A"/>
    <w:rsid w:val="007A2B26"/>
    <w:rsid w:val="007D03C6"/>
    <w:rsid w:val="00864F2C"/>
    <w:rsid w:val="008B0DE5"/>
    <w:rsid w:val="008D4183"/>
    <w:rsid w:val="008F3B00"/>
    <w:rsid w:val="009432D7"/>
    <w:rsid w:val="00966F3D"/>
    <w:rsid w:val="00972197"/>
    <w:rsid w:val="00974649"/>
    <w:rsid w:val="00985CAA"/>
    <w:rsid w:val="009B0E1F"/>
    <w:rsid w:val="00A03E6F"/>
    <w:rsid w:val="00A62A12"/>
    <w:rsid w:val="00AB53DD"/>
    <w:rsid w:val="00AB755E"/>
    <w:rsid w:val="00AE55AA"/>
    <w:rsid w:val="00B235B4"/>
    <w:rsid w:val="00B42B26"/>
    <w:rsid w:val="00B95291"/>
    <w:rsid w:val="00BC5753"/>
    <w:rsid w:val="00BD03A0"/>
    <w:rsid w:val="00C92593"/>
    <w:rsid w:val="00CA35A8"/>
    <w:rsid w:val="00CB01E2"/>
    <w:rsid w:val="00CF26D0"/>
    <w:rsid w:val="00CF7F4A"/>
    <w:rsid w:val="00D00DE9"/>
    <w:rsid w:val="00D267FD"/>
    <w:rsid w:val="00D71335"/>
    <w:rsid w:val="00D96A33"/>
    <w:rsid w:val="00DA6908"/>
    <w:rsid w:val="00E61C5B"/>
    <w:rsid w:val="00E676D5"/>
    <w:rsid w:val="00E83AB4"/>
    <w:rsid w:val="00E85034"/>
    <w:rsid w:val="00EA63B6"/>
    <w:rsid w:val="00EE4520"/>
    <w:rsid w:val="00EE7858"/>
    <w:rsid w:val="00EF3865"/>
    <w:rsid w:val="00F57A95"/>
    <w:rsid w:val="00F82A82"/>
    <w:rsid w:val="00FA6A97"/>
    <w:rsid w:val="00FF5483"/>
    <w:rsid w:val="01302411"/>
    <w:rsid w:val="016C3B49"/>
    <w:rsid w:val="018321A9"/>
    <w:rsid w:val="01D17FA2"/>
    <w:rsid w:val="02092DCB"/>
    <w:rsid w:val="020A29E6"/>
    <w:rsid w:val="020B61DA"/>
    <w:rsid w:val="02215553"/>
    <w:rsid w:val="027F01BB"/>
    <w:rsid w:val="0287422C"/>
    <w:rsid w:val="02944600"/>
    <w:rsid w:val="02B7720E"/>
    <w:rsid w:val="02BA5D4E"/>
    <w:rsid w:val="02DC07C0"/>
    <w:rsid w:val="02FE20CD"/>
    <w:rsid w:val="036479D3"/>
    <w:rsid w:val="036B3A38"/>
    <w:rsid w:val="03F71F7A"/>
    <w:rsid w:val="04011ED4"/>
    <w:rsid w:val="04597F1A"/>
    <w:rsid w:val="04824205"/>
    <w:rsid w:val="04AC0752"/>
    <w:rsid w:val="04B105E5"/>
    <w:rsid w:val="04E95F24"/>
    <w:rsid w:val="0531798F"/>
    <w:rsid w:val="054034F1"/>
    <w:rsid w:val="054736CE"/>
    <w:rsid w:val="059D079A"/>
    <w:rsid w:val="05E67CDA"/>
    <w:rsid w:val="06036B37"/>
    <w:rsid w:val="062675F1"/>
    <w:rsid w:val="06A16E4D"/>
    <w:rsid w:val="06CC2637"/>
    <w:rsid w:val="06F831AB"/>
    <w:rsid w:val="07295F7B"/>
    <w:rsid w:val="073350AF"/>
    <w:rsid w:val="0765181F"/>
    <w:rsid w:val="07661986"/>
    <w:rsid w:val="07887A60"/>
    <w:rsid w:val="07B33529"/>
    <w:rsid w:val="07E01D41"/>
    <w:rsid w:val="0841606B"/>
    <w:rsid w:val="0897170A"/>
    <w:rsid w:val="08AA2E69"/>
    <w:rsid w:val="08BB280E"/>
    <w:rsid w:val="092F7C2B"/>
    <w:rsid w:val="093F0AC8"/>
    <w:rsid w:val="09534169"/>
    <w:rsid w:val="095A1837"/>
    <w:rsid w:val="096A0D85"/>
    <w:rsid w:val="099346C1"/>
    <w:rsid w:val="09B3286E"/>
    <w:rsid w:val="0A4D6AF6"/>
    <w:rsid w:val="0A87594F"/>
    <w:rsid w:val="0A9B590B"/>
    <w:rsid w:val="0AAB1FE1"/>
    <w:rsid w:val="0B4B1FFB"/>
    <w:rsid w:val="0B9D561F"/>
    <w:rsid w:val="0BA97DB4"/>
    <w:rsid w:val="0BC01329"/>
    <w:rsid w:val="0BC80491"/>
    <w:rsid w:val="0BEB38EB"/>
    <w:rsid w:val="0C227BC4"/>
    <w:rsid w:val="0C30324D"/>
    <w:rsid w:val="0C3962D2"/>
    <w:rsid w:val="0C7D621F"/>
    <w:rsid w:val="0CA71881"/>
    <w:rsid w:val="0CAD43AE"/>
    <w:rsid w:val="0D551D83"/>
    <w:rsid w:val="0DDA3736"/>
    <w:rsid w:val="0E0674A0"/>
    <w:rsid w:val="0E59458E"/>
    <w:rsid w:val="0E884BEC"/>
    <w:rsid w:val="0EB147F3"/>
    <w:rsid w:val="0F0166D2"/>
    <w:rsid w:val="0F2E4813"/>
    <w:rsid w:val="0F6525DC"/>
    <w:rsid w:val="0F76123D"/>
    <w:rsid w:val="10245012"/>
    <w:rsid w:val="10291A4C"/>
    <w:rsid w:val="104A4DC5"/>
    <w:rsid w:val="106742C3"/>
    <w:rsid w:val="108D4606"/>
    <w:rsid w:val="10A356F2"/>
    <w:rsid w:val="10A60080"/>
    <w:rsid w:val="10AD204B"/>
    <w:rsid w:val="110818CB"/>
    <w:rsid w:val="11590C74"/>
    <w:rsid w:val="11D846A9"/>
    <w:rsid w:val="122D711F"/>
    <w:rsid w:val="1238358A"/>
    <w:rsid w:val="129E4021"/>
    <w:rsid w:val="12B94083"/>
    <w:rsid w:val="12D16713"/>
    <w:rsid w:val="12D26BDC"/>
    <w:rsid w:val="13060946"/>
    <w:rsid w:val="131E65D5"/>
    <w:rsid w:val="134E12E7"/>
    <w:rsid w:val="139060A4"/>
    <w:rsid w:val="13AC1863"/>
    <w:rsid w:val="13FD74A6"/>
    <w:rsid w:val="140173A8"/>
    <w:rsid w:val="141929C2"/>
    <w:rsid w:val="14255D32"/>
    <w:rsid w:val="146501C0"/>
    <w:rsid w:val="146E3C78"/>
    <w:rsid w:val="146F6FA3"/>
    <w:rsid w:val="14796B12"/>
    <w:rsid w:val="148E7868"/>
    <w:rsid w:val="14BB55C8"/>
    <w:rsid w:val="14E67380"/>
    <w:rsid w:val="14EC57FD"/>
    <w:rsid w:val="15370504"/>
    <w:rsid w:val="15412846"/>
    <w:rsid w:val="156B7CAF"/>
    <w:rsid w:val="15A44EF7"/>
    <w:rsid w:val="15D802E3"/>
    <w:rsid w:val="15D80876"/>
    <w:rsid w:val="15FF9B9C"/>
    <w:rsid w:val="160B4F8B"/>
    <w:rsid w:val="161B3F06"/>
    <w:rsid w:val="16253305"/>
    <w:rsid w:val="169E17F1"/>
    <w:rsid w:val="16F1075E"/>
    <w:rsid w:val="170C7369"/>
    <w:rsid w:val="173D31FC"/>
    <w:rsid w:val="17891941"/>
    <w:rsid w:val="17DE33EE"/>
    <w:rsid w:val="17FE7BBD"/>
    <w:rsid w:val="18AD3874"/>
    <w:rsid w:val="18B21497"/>
    <w:rsid w:val="18F50BB1"/>
    <w:rsid w:val="18F74FFE"/>
    <w:rsid w:val="194D0744"/>
    <w:rsid w:val="19EC637A"/>
    <w:rsid w:val="1A6F4810"/>
    <w:rsid w:val="1A7D574A"/>
    <w:rsid w:val="1A7F2286"/>
    <w:rsid w:val="1AA3420B"/>
    <w:rsid w:val="1AB0116F"/>
    <w:rsid w:val="1ABA2CFC"/>
    <w:rsid w:val="1B4E5FFC"/>
    <w:rsid w:val="1B7252AE"/>
    <w:rsid w:val="1B751A47"/>
    <w:rsid w:val="1BC82894"/>
    <w:rsid w:val="1BCE63B2"/>
    <w:rsid w:val="1C4A2F54"/>
    <w:rsid w:val="1CA11007"/>
    <w:rsid w:val="1D312C08"/>
    <w:rsid w:val="1D4D46E3"/>
    <w:rsid w:val="1D602828"/>
    <w:rsid w:val="1DA532A8"/>
    <w:rsid w:val="1DBB1301"/>
    <w:rsid w:val="1DBBB218"/>
    <w:rsid w:val="1DBF4C31"/>
    <w:rsid w:val="1DBFACF0"/>
    <w:rsid w:val="1DDE42E9"/>
    <w:rsid w:val="1DF30F38"/>
    <w:rsid w:val="1E215AB9"/>
    <w:rsid w:val="1E305811"/>
    <w:rsid w:val="1F2E488A"/>
    <w:rsid w:val="1F3218B1"/>
    <w:rsid w:val="1FFF5268"/>
    <w:rsid w:val="1FFFB1C9"/>
    <w:rsid w:val="200A3686"/>
    <w:rsid w:val="20105E2C"/>
    <w:rsid w:val="20322BA7"/>
    <w:rsid w:val="203A4A0D"/>
    <w:rsid w:val="205A578E"/>
    <w:rsid w:val="206F374D"/>
    <w:rsid w:val="209B528D"/>
    <w:rsid w:val="209C71E5"/>
    <w:rsid w:val="209E31B2"/>
    <w:rsid w:val="21110502"/>
    <w:rsid w:val="213005CE"/>
    <w:rsid w:val="216D05B9"/>
    <w:rsid w:val="218F543F"/>
    <w:rsid w:val="21991527"/>
    <w:rsid w:val="219A5B05"/>
    <w:rsid w:val="21AE41D9"/>
    <w:rsid w:val="21CE058C"/>
    <w:rsid w:val="22522FEC"/>
    <w:rsid w:val="225926A8"/>
    <w:rsid w:val="22693DF4"/>
    <w:rsid w:val="22706B83"/>
    <w:rsid w:val="229954F1"/>
    <w:rsid w:val="229A2180"/>
    <w:rsid w:val="22B443DC"/>
    <w:rsid w:val="22CB6AE3"/>
    <w:rsid w:val="22D26718"/>
    <w:rsid w:val="23281222"/>
    <w:rsid w:val="23301D43"/>
    <w:rsid w:val="233B3EDB"/>
    <w:rsid w:val="237C2E6E"/>
    <w:rsid w:val="23B37624"/>
    <w:rsid w:val="23B528F6"/>
    <w:rsid w:val="23CD6F6B"/>
    <w:rsid w:val="2417176C"/>
    <w:rsid w:val="24CC50F4"/>
    <w:rsid w:val="24D40602"/>
    <w:rsid w:val="24EB2E7B"/>
    <w:rsid w:val="24ED38F7"/>
    <w:rsid w:val="24F640B4"/>
    <w:rsid w:val="24FE698A"/>
    <w:rsid w:val="258A2F51"/>
    <w:rsid w:val="2592118A"/>
    <w:rsid w:val="25A46F2C"/>
    <w:rsid w:val="25CE33E9"/>
    <w:rsid w:val="25CF6BD7"/>
    <w:rsid w:val="25DD5CF1"/>
    <w:rsid w:val="262D36F5"/>
    <w:rsid w:val="26374ACC"/>
    <w:rsid w:val="265A72DF"/>
    <w:rsid w:val="26735D2F"/>
    <w:rsid w:val="267767E9"/>
    <w:rsid w:val="27287AFC"/>
    <w:rsid w:val="274F0F25"/>
    <w:rsid w:val="275B0842"/>
    <w:rsid w:val="27AD000B"/>
    <w:rsid w:val="27AD5B89"/>
    <w:rsid w:val="27B11AF6"/>
    <w:rsid w:val="27D66FEB"/>
    <w:rsid w:val="27FA6A3D"/>
    <w:rsid w:val="27FB46D8"/>
    <w:rsid w:val="27FECD58"/>
    <w:rsid w:val="282013ED"/>
    <w:rsid w:val="283535AE"/>
    <w:rsid w:val="2865203C"/>
    <w:rsid w:val="28793F5C"/>
    <w:rsid w:val="287C5B19"/>
    <w:rsid w:val="28A4093D"/>
    <w:rsid w:val="28A6098D"/>
    <w:rsid w:val="28C20541"/>
    <w:rsid w:val="28DD4E37"/>
    <w:rsid w:val="297C387E"/>
    <w:rsid w:val="29840531"/>
    <w:rsid w:val="29916AA0"/>
    <w:rsid w:val="29A21154"/>
    <w:rsid w:val="29C22855"/>
    <w:rsid w:val="29EA2FAB"/>
    <w:rsid w:val="2A354319"/>
    <w:rsid w:val="2A5C1942"/>
    <w:rsid w:val="2A8545B7"/>
    <w:rsid w:val="2A8A4481"/>
    <w:rsid w:val="2A971519"/>
    <w:rsid w:val="2AF17B49"/>
    <w:rsid w:val="2B535225"/>
    <w:rsid w:val="2B5F5BE8"/>
    <w:rsid w:val="2B960967"/>
    <w:rsid w:val="2BAF0740"/>
    <w:rsid w:val="2BC42DE3"/>
    <w:rsid w:val="2BDA1A0A"/>
    <w:rsid w:val="2C2627DB"/>
    <w:rsid w:val="2C72244A"/>
    <w:rsid w:val="2C7FDE25"/>
    <w:rsid w:val="2CAB253F"/>
    <w:rsid w:val="2CBC6E40"/>
    <w:rsid w:val="2CD26234"/>
    <w:rsid w:val="2D250AD6"/>
    <w:rsid w:val="2D2F18B2"/>
    <w:rsid w:val="2D456840"/>
    <w:rsid w:val="2D5904A8"/>
    <w:rsid w:val="2D5B1B12"/>
    <w:rsid w:val="2D795090"/>
    <w:rsid w:val="2D985AB0"/>
    <w:rsid w:val="2E3A0363"/>
    <w:rsid w:val="2E754E93"/>
    <w:rsid w:val="2EB0532D"/>
    <w:rsid w:val="2EDF037C"/>
    <w:rsid w:val="2F1708CF"/>
    <w:rsid w:val="2F2F63E8"/>
    <w:rsid w:val="2F327577"/>
    <w:rsid w:val="2F715860"/>
    <w:rsid w:val="2F9B1BF6"/>
    <w:rsid w:val="2FBA1807"/>
    <w:rsid w:val="2FDC1914"/>
    <w:rsid w:val="30952F85"/>
    <w:rsid w:val="30EF66EA"/>
    <w:rsid w:val="310221BE"/>
    <w:rsid w:val="31040E3E"/>
    <w:rsid w:val="31052FED"/>
    <w:rsid w:val="31193E3D"/>
    <w:rsid w:val="31246197"/>
    <w:rsid w:val="312D6845"/>
    <w:rsid w:val="31367A1B"/>
    <w:rsid w:val="31B78373"/>
    <w:rsid w:val="31FA5EFF"/>
    <w:rsid w:val="321B326B"/>
    <w:rsid w:val="32793C21"/>
    <w:rsid w:val="329D3166"/>
    <w:rsid w:val="32AF1376"/>
    <w:rsid w:val="32B25BB9"/>
    <w:rsid w:val="3342421D"/>
    <w:rsid w:val="335D0E39"/>
    <w:rsid w:val="3369773F"/>
    <w:rsid w:val="336B7F46"/>
    <w:rsid w:val="33BD16EB"/>
    <w:rsid w:val="33C82751"/>
    <w:rsid w:val="34082346"/>
    <w:rsid w:val="34253005"/>
    <w:rsid w:val="34341C4D"/>
    <w:rsid w:val="346F7D21"/>
    <w:rsid w:val="349B30FD"/>
    <w:rsid w:val="34D92678"/>
    <w:rsid w:val="34F70193"/>
    <w:rsid w:val="35064785"/>
    <w:rsid w:val="35157F55"/>
    <w:rsid w:val="353B7C69"/>
    <w:rsid w:val="353D718D"/>
    <w:rsid w:val="3543668D"/>
    <w:rsid w:val="354C1FBC"/>
    <w:rsid w:val="362546B3"/>
    <w:rsid w:val="362F49CE"/>
    <w:rsid w:val="3633606B"/>
    <w:rsid w:val="367F765F"/>
    <w:rsid w:val="368F3DB4"/>
    <w:rsid w:val="36DF5674"/>
    <w:rsid w:val="36F53848"/>
    <w:rsid w:val="37183D81"/>
    <w:rsid w:val="372E2279"/>
    <w:rsid w:val="373A1429"/>
    <w:rsid w:val="37617F42"/>
    <w:rsid w:val="37674FA8"/>
    <w:rsid w:val="37991BB3"/>
    <w:rsid w:val="37A76ECD"/>
    <w:rsid w:val="37AE3C8D"/>
    <w:rsid w:val="37AE7266"/>
    <w:rsid w:val="37B05C3E"/>
    <w:rsid w:val="37E50488"/>
    <w:rsid w:val="380379B1"/>
    <w:rsid w:val="38547958"/>
    <w:rsid w:val="38B5553D"/>
    <w:rsid w:val="391966D0"/>
    <w:rsid w:val="39290F4A"/>
    <w:rsid w:val="392C2FDF"/>
    <w:rsid w:val="394C5840"/>
    <w:rsid w:val="39B34CEB"/>
    <w:rsid w:val="39FF5002"/>
    <w:rsid w:val="3A1932EF"/>
    <w:rsid w:val="3A465044"/>
    <w:rsid w:val="3A582B3B"/>
    <w:rsid w:val="3ABF0DAA"/>
    <w:rsid w:val="3AF5FF06"/>
    <w:rsid w:val="3B0F5AA6"/>
    <w:rsid w:val="3B2362CD"/>
    <w:rsid w:val="3B29751D"/>
    <w:rsid w:val="3B3B43AF"/>
    <w:rsid w:val="3BFFB146"/>
    <w:rsid w:val="3C2B439B"/>
    <w:rsid w:val="3C54184D"/>
    <w:rsid w:val="3C89457D"/>
    <w:rsid w:val="3CA940DE"/>
    <w:rsid w:val="3CE157D0"/>
    <w:rsid w:val="3D2E696D"/>
    <w:rsid w:val="3D540C6B"/>
    <w:rsid w:val="3D553A0E"/>
    <w:rsid w:val="3D964B50"/>
    <w:rsid w:val="3DAF0BA9"/>
    <w:rsid w:val="3DD8240C"/>
    <w:rsid w:val="3DEC43AB"/>
    <w:rsid w:val="3E06481D"/>
    <w:rsid w:val="3E326FEF"/>
    <w:rsid w:val="3E5E28E2"/>
    <w:rsid w:val="3EF51CCF"/>
    <w:rsid w:val="3F9714AC"/>
    <w:rsid w:val="3FBFE18F"/>
    <w:rsid w:val="3FF61B73"/>
    <w:rsid w:val="3FFF5250"/>
    <w:rsid w:val="3FFFCF87"/>
    <w:rsid w:val="40AD00F2"/>
    <w:rsid w:val="40EE7876"/>
    <w:rsid w:val="40FD3161"/>
    <w:rsid w:val="410745C1"/>
    <w:rsid w:val="412E0B95"/>
    <w:rsid w:val="414375CF"/>
    <w:rsid w:val="41534CB2"/>
    <w:rsid w:val="416C1E0F"/>
    <w:rsid w:val="41E00614"/>
    <w:rsid w:val="42134949"/>
    <w:rsid w:val="422B3F64"/>
    <w:rsid w:val="423F27D4"/>
    <w:rsid w:val="424E35CF"/>
    <w:rsid w:val="4297583B"/>
    <w:rsid w:val="42A46D81"/>
    <w:rsid w:val="42B962F8"/>
    <w:rsid w:val="42C719F9"/>
    <w:rsid w:val="42CA72B6"/>
    <w:rsid w:val="430E0EDF"/>
    <w:rsid w:val="432E0DF5"/>
    <w:rsid w:val="43360B9D"/>
    <w:rsid w:val="43376464"/>
    <w:rsid w:val="43585209"/>
    <w:rsid w:val="43671B9B"/>
    <w:rsid w:val="43793395"/>
    <w:rsid w:val="4382251D"/>
    <w:rsid w:val="43FA49E9"/>
    <w:rsid w:val="440C6AE7"/>
    <w:rsid w:val="440E117C"/>
    <w:rsid w:val="44483826"/>
    <w:rsid w:val="445C3F3C"/>
    <w:rsid w:val="44DD4E0A"/>
    <w:rsid w:val="451B7D76"/>
    <w:rsid w:val="452718CB"/>
    <w:rsid w:val="452D5531"/>
    <w:rsid w:val="456B0B48"/>
    <w:rsid w:val="45916D85"/>
    <w:rsid w:val="45A66C91"/>
    <w:rsid w:val="45D47FE0"/>
    <w:rsid w:val="460D2AF8"/>
    <w:rsid w:val="461A0629"/>
    <w:rsid w:val="46395C86"/>
    <w:rsid w:val="46397392"/>
    <w:rsid w:val="466D03C7"/>
    <w:rsid w:val="4690085B"/>
    <w:rsid w:val="46A23F6D"/>
    <w:rsid w:val="46AA7B44"/>
    <w:rsid w:val="46EB62FC"/>
    <w:rsid w:val="46FF15A7"/>
    <w:rsid w:val="47087E60"/>
    <w:rsid w:val="47196144"/>
    <w:rsid w:val="47207D50"/>
    <w:rsid w:val="47215957"/>
    <w:rsid w:val="473703C3"/>
    <w:rsid w:val="473C1D26"/>
    <w:rsid w:val="474024AC"/>
    <w:rsid w:val="47444F3F"/>
    <w:rsid w:val="47607005"/>
    <w:rsid w:val="47670F66"/>
    <w:rsid w:val="479F3310"/>
    <w:rsid w:val="47B71345"/>
    <w:rsid w:val="482D0FE4"/>
    <w:rsid w:val="48393F48"/>
    <w:rsid w:val="48424967"/>
    <w:rsid w:val="488434C6"/>
    <w:rsid w:val="488A3CAC"/>
    <w:rsid w:val="48D354E6"/>
    <w:rsid w:val="48E255A6"/>
    <w:rsid w:val="48F9747B"/>
    <w:rsid w:val="490315AF"/>
    <w:rsid w:val="491F2D54"/>
    <w:rsid w:val="494E459D"/>
    <w:rsid w:val="495561D5"/>
    <w:rsid w:val="4A353852"/>
    <w:rsid w:val="4AA30A56"/>
    <w:rsid w:val="4AB501CD"/>
    <w:rsid w:val="4ACD0C86"/>
    <w:rsid w:val="4AD93377"/>
    <w:rsid w:val="4B2F061A"/>
    <w:rsid w:val="4B4712DE"/>
    <w:rsid w:val="4B6917EC"/>
    <w:rsid w:val="4B8208BB"/>
    <w:rsid w:val="4B9C460A"/>
    <w:rsid w:val="4BAD5C82"/>
    <w:rsid w:val="4BCC5C65"/>
    <w:rsid w:val="4C364B49"/>
    <w:rsid w:val="4C8142E9"/>
    <w:rsid w:val="4CD10823"/>
    <w:rsid w:val="4CE420EF"/>
    <w:rsid w:val="4D3E5829"/>
    <w:rsid w:val="4D5F22F0"/>
    <w:rsid w:val="4D8272D2"/>
    <w:rsid w:val="4D895BA9"/>
    <w:rsid w:val="4DA30080"/>
    <w:rsid w:val="4DE165AE"/>
    <w:rsid w:val="4DEE5E67"/>
    <w:rsid w:val="4DFFD13C"/>
    <w:rsid w:val="4E303357"/>
    <w:rsid w:val="4E367E57"/>
    <w:rsid w:val="4E601F37"/>
    <w:rsid w:val="4ED5479A"/>
    <w:rsid w:val="4EFF1C2B"/>
    <w:rsid w:val="4F0C78FE"/>
    <w:rsid w:val="4F561029"/>
    <w:rsid w:val="4F9A5B2C"/>
    <w:rsid w:val="4FA34D3A"/>
    <w:rsid w:val="4FFD346F"/>
    <w:rsid w:val="500E18C4"/>
    <w:rsid w:val="501F4892"/>
    <w:rsid w:val="506249D4"/>
    <w:rsid w:val="50752C57"/>
    <w:rsid w:val="50997892"/>
    <w:rsid w:val="50BD7DB6"/>
    <w:rsid w:val="51191AAF"/>
    <w:rsid w:val="51634774"/>
    <w:rsid w:val="516D7D1C"/>
    <w:rsid w:val="51BF6F49"/>
    <w:rsid w:val="51F0320C"/>
    <w:rsid w:val="51FF704D"/>
    <w:rsid w:val="52007FBC"/>
    <w:rsid w:val="522B45DF"/>
    <w:rsid w:val="525D6750"/>
    <w:rsid w:val="527849E2"/>
    <w:rsid w:val="529E3E2F"/>
    <w:rsid w:val="52BF457A"/>
    <w:rsid w:val="52DA16AF"/>
    <w:rsid w:val="52F1068A"/>
    <w:rsid w:val="52FC4A47"/>
    <w:rsid w:val="534A220F"/>
    <w:rsid w:val="538773E9"/>
    <w:rsid w:val="538B45EF"/>
    <w:rsid w:val="5395781B"/>
    <w:rsid w:val="53B53DB0"/>
    <w:rsid w:val="53C84842"/>
    <w:rsid w:val="53E01A4C"/>
    <w:rsid w:val="53E81A92"/>
    <w:rsid w:val="53FC46F3"/>
    <w:rsid w:val="53FE1EEF"/>
    <w:rsid w:val="54257DC7"/>
    <w:rsid w:val="54352CE4"/>
    <w:rsid w:val="54610252"/>
    <w:rsid w:val="5482007B"/>
    <w:rsid w:val="5527284D"/>
    <w:rsid w:val="554F75CA"/>
    <w:rsid w:val="5599292D"/>
    <w:rsid w:val="55AB4453"/>
    <w:rsid w:val="55FF5263"/>
    <w:rsid w:val="560A289B"/>
    <w:rsid w:val="56163402"/>
    <w:rsid w:val="56804D63"/>
    <w:rsid w:val="57087DEB"/>
    <w:rsid w:val="57201A18"/>
    <w:rsid w:val="57420D43"/>
    <w:rsid w:val="575F98D5"/>
    <w:rsid w:val="5790083B"/>
    <w:rsid w:val="57B54119"/>
    <w:rsid w:val="57C0070D"/>
    <w:rsid w:val="5833695A"/>
    <w:rsid w:val="585C0292"/>
    <w:rsid w:val="586F37F1"/>
    <w:rsid w:val="58CC2AE5"/>
    <w:rsid w:val="58DE1354"/>
    <w:rsid w:val="58E41F54"/>
    <w:rsid w:val="594C6D45"/>
    <w:rsid w:val="595A5C3D"/>
    <w:rsid w:val="596A2DE9"/>
    <w:rsid w:val="59922DE9"/>
    <w:rsid w:val="59AF1653"/>
    <w:rsid w:val="59BB115E"/>
    <w:rsid w:val="59D273E8"/>
    <w:rsid w:val="59D30E5C"/>
    <w:rsid w:val="59EB419E"/>
    <w:rsid w:val="59F167F0"/>
    <w:rsid w:val="5A152633"/>
    <w:rsid w:val="5A6579AA"/>
    <w:rsid w:val="5AA41735"/>
    <w:rsid w:val="5AA47ED8"/>
    <w:rsid w:val="5AC6337D"/>
    <w:rsid w:val="5B4D6AD9"/>
    <w:rsid w:val="5BBB639F"/>
    <w:rsid w:val="5BC70D0A"/>
    <w:rsid w:val="5BD45CE4"/>
    <w:rsid w:val="5C1B3EEC"/>
    <w:rsid w:val="5C580083"/>
    <w:rsid w:val="5C5B14F9"/>
    <w:rsid w:val="5C9C56A6"/>
    <w:rsid w:val="5CC67B79"/>
    <w:rsid w:val="5CCB37F7"/>
    <w:rsid w:val="5D364148"/>
    <w:rsid w:val="5D3D7B95"/>
    <w:rsid w:val="5D4D4958"/>
    <w:rsid w:val="5D5B6640"/>
    <w:rsid w:val="5D62738C"/>
    <w:rsid w:val="5DB113CC"/>
    <w:rsid w:val="5DE31CD2"/>
    <w:rsid w:val="5E7CEE05"/>
    <w:rsid w:val="5EF5BEB8"/>
    <w:rsid w:val="5F275944"/>
    <w:rsid w:val="5F3F4890"/>
    <w:rsid w:val="5F9914C1"/>
    <w:rsid w:val="5F9F6BFD"/>
    <w:rsid w:val="5FB531DE"/>
    <w:rsid w:val="5FBA52E5"/>
    <w:rsid w:val="5FC6353D"/>
    <w:rsid w:val="5FF17A12"/>
    <w:rsid w:val="5FFD1501"/>
    <w:rsid w:val="5FFF3323"/>
    <w:rsid w:val="60257CE6"/>
    <w:rsid w:val="6089791E"/>
    <w:rsid w:val="60C05441"/>
    <w:rsid w:val="60D903F3"/>
    <w:rsid w:val="61002717"/>
    <w:rsid w:val="610F2518"/>
    <w:rsid w:val="612B4218"/>
    <w:rsid w:val="61341A7A"/>
    <w:rsid w:val="614035D4"/>
    <w:rsid w:val="61776900"/>
    <w:rsid w:val="61E37E1B"/>
    <w:rsid w:val="61F66BE6"/>
    <w:rsid w:val="62123037"/>
    <w:rsid w:val="6220088D"/>
    <w:rsid w:val="62536D87"/>
    <w:rsid w:val="626356C2"/>
    <w:rsid w:val="62B55C85"/>
    <w:rsid w:val="62C50753"/>
    <w:rsid w:val="62E63ABE"/>
    <w:rsid w:val="62F87FAC"/>
    <w:rsid w:val="632F543B"/>
    <w:rsid w:val="636E7FC3"/>
    <w:rsid w:val="638F7098"/>
    <w:rsid w:val="63AF7613"/>
    <w:rsid w:val="63C35FFF"/>
    <w:rsid w:val="63F21BDC"/>
    <w:rsid w:val="63FBE418"/>
    <w:rsid w:val="64082C22"/>
    <w:rsid w:val="64324029"/>
    <w:rsid w:val="649067A6"/>
    <w:rsid w:val="64942E1A"/>
    <w:rsid w:val="649A6419"/>
    <w:rsid w:val="64B00B6F"/>
    <w:rsid w:val="65143330"/>
    <w:rsid w:val="65234252"/>
    <w:rsid w:val="656443C0"/>
    <w:rsid w:val="659F2A7D"/>
    <w:rsid w:val="65FF9756"/>
    <w:rsid w:val="66257BC0"/>
    <w:rsid w:val="66262F3D"/>
    <w:rsid w:val="6642229C"/>
    <w:rsid w:val="666E2432"/>
    <w:rsid w:val="6691541E"/>
    <w:rsid w:val="66E67EB0"/>
    <w:rsid w:val="67087DDB"/>
    <w:rsid w:val="670E5673"/>
    <w:rsid w:val="67E03C92"/>
    <w:rsid w:val="68131021"/>
    <w:rsid w:val="682558D2"/>
    <w:rsid w:val="68374F6F"/>
    <w:rsid w:val="683A3F6C"/>
    <w:rsid w:val="68424840"/>
    <w:rsid w:val="696F6730"/>
    <w:rsid w:val="69774DBB"/>
    <w:rsid w:val="69BA5705"/>
    <w:rsid w:val="69F91D25"/>
    <w:rsid w:val="6A7F2243"/>
    <w:rsid w:val="6A8078BE"/>
    <w:rsid w:val="6A83331D"/>
    <w:rsid w:val="6AAD1EF3"/>
    <w:rsid w:val="6AB90BB2"/>
    <w:rsid w:val="6AC42536"/>
    <w:rsid w:val="6B193DCC"/>
    <w:rsid w:val="6B197AA0"/>
    <w:rsid w:val="6B3E1CC4"/>
    <w:rsid w:val="6B7856FB"/>
    <w:rsid w:val="6B7A5565"/>
    <w:rsid w:val="6BDA2524"/>
    <w:rsid w:val="6BEECACA"/>
    <w:rsid w:val="6C1A61C6"/>
    <w:rsid w:val="6C3071F6"/>
    <w:rsid w:val="6C335172"/>
    <w:rsid w:val="6C425377"/>
    <w:rsid w:val="6C6B7175"/>
    <w:rsid w:val="6C730B5E"/>
    <w:rsid w:val="6C8C72C6"/>
    <w:rsid w:val="6C9172AB"/>
    <w:rsid w:val="6CB31983"/>
    <w:rsid w:val="6CF12EF1"/>
    <w:rsid w:val="6D4971EA"/>
    <w:rsid w:val="6D61664D"/>
    <w:rsid w:val="6D6461F6"/>
    <w:rsid w:val="6D717F41"/>
    <w:rsid w:val="6D754B21"/>
    <w:rsid w:val="6DB72AFE"/>
    <w:rsid w:val="6DE67BDD"/>
    <w:rsid w:val="6DEC4509"/>
    <w:rsid w:val="6DFB5CD1"/>
    <w:rsid w:val="6DFD133E"/>
    <w:rsid w:val="6E1A79F5"/>
    <w:rsid w:val="6E24398A"/>
    <w:rsid w:val="6E2971E2"/>
    <w:rsid w:val="6E6D26AC"/>
    <w:rsid w:val="6ED27DA8"/>
    <w:rsid w:val="6EEE0C8D"/>
    <w:rsid w:val="6EFF13D4"/>
    <w:rsid w:val="6F1A2DE5"/>
    <w:rsid w:val="6F4B7EDC"/>
    <w:rsid w:val="6F683919"/>
    <w:rsid w:val="6F765AA8"/>
    <w:rsid w:val="6FC52507"/>
    <w:rsid w:val="6FC617F3"/>
    <w:rsid w:val="6FCB0FA9"/>
    <w:rsid w:val="6FF33824"/>
    <w:rsid w:val="70582750"/>
    <w:rsid w:val="705A762C"/>
    <w:rsid w:val="706505AC"/>
    <w:rsid w:val="707E7C0E"/>
    <w:rsid w:val="708E3FAE"/>
    <w:rsid w:val="709E3BEB"/>
    <w:rsid w:val="70A2386D"/>
    <w:rsid w:val="70A65275"/>
    <w:rsid w:val="70B73092"/>
    <w:rsid w:val="7130603C"/>
    <w:rsid w:val="71467AE1"/>
    <w:rsid w:val="71567A62"/>
    <w:rsid w:val="71BA44F3"/>
    <w:rsid w:val="71FC2569"/>
    <w:rsid w:val="720A7571"/>
    <w:rsid w:val="728746C4"/>
    <w:rsid w:val="729C20A7"/>
    <w:rsid w:val="72C20BC4"/>
    <w:rsid w:val="72C45E6D"/>
    <w:rsid w:val="72C8133A"/>
    <w:rsid w:val="72EF5BEB"/>
    <w:rsid w:val="7332230D"/>
    <w:rsid w:val="73996C0A"/>
    <w:rsid w:val="73E1175B"/>
    <w:rsid w:val="73F423CB"/>
    <w:rsid w:val="73FF5AC8"/>
    <w:rsid w:val="74680D9F"/>
    <w:rsid w:val="746A7484"/>
    <w:rsid w:val="74810508"/>
    <w:rsid w:val="7481635D"/>
    <w:rsid w:val="749E4D5D"/>
    <w:rsid w:val="74CB6BAB"/>
    <w:rsid w:val="74FD513F"/>
    <w:rsid w:val="755740CF"/>
    <w:rsid w:val="757B4614"/>
    <w:rsid w:val="75B64FA2"/>
    <w:rsid w:val="75D266B9"/>
    <w:rsid w:val="75F77711"/>
    <w:rsid w:val="75FA2D1E"/>
    <w:rsid w:val="761F7DBB"/>
    <w:rsid w:val="76383F2F"/>
    <w:rsid w:val="76672FBD"/>
    <w:rsid w:val="7675616E"/>
    <w:rsid w:val="767B7404"/>
    <w:rsid w:val="76903014"/>
    <w:rsid w:val="769540CD"/>
    <w:rsid w:val="76A80347"/>
    <w:rsid w:val="76D63382"/>
    <w:rsid w:val="7713452F"/>
    <w:rsid w:val="7731425C"/>
    <w:rsid w:val="777E2AE7"/>
    <w:rsid w:val="779C444B"/>
    <w:rsid w:val="77F44E17"/>
    <w:rsid w:val="77FC2E8B"/>
    <w:rsid w:val="78512C75"/>
    <w:rsid w:val="78AF4634"/>
    <w:rsid w:val="78B625FD"/>
    <w:rsid w:val="78C01F1E"/>
    <w:rsid w:val="78C17BB8"/>
    <w:rsid w:val="7910040D"/>
    <w:rsid w:val="791571D1"/>
    <w:rsid w:val="793A4491"/>
    <w:rsid w:val="794E64DE"/>
    <w:rsid w:val="79BF7EFC"/>
    <w:rsid w:val="79CB0BA0"/>
    <w:rsid w:val="79D05223"/>
    <w:rsid w:val="7A3829ED"/>
    <w:rsid w:val="7A3C0AE1"/>
    <w:rsid w:val="7A3E6DD2"/>
    <w:rsid w:val="7A6104A5"/>
    <w:rsid w:val="7A7D52F7"/>
    <w:rsid w:val="7ABD7263"/>
    <w:rsid w:val="7AEE4675"/>
    <w:rsid w:val="7B974167"/>
    <w:rsid w:val="7B9D3E9A"/>
    <w:rsid w:val="7BAF225D"/>
    <w:rsid w:val="7BDB0D48"/>
    <w:rsid w:val="7BE7E268"/>
    <w:rsid w:val="7BFD18F3"/>
    <w:rsid w:val="7C3E1A81"/>
    <w:rsid w:val="7C4F1A3D"/>
    <w:rsid w:val="7C74458B"/>
    <w:rsid w:val="7CB20890"/>
    <w:rsid w:val="7D433D2D"/>
    <w:rsid w:val="7D5F0F60"/>
    <w:rsid w:val="7D826078"/>
    <w:rsid w:val="7DB71EA8"/>
    <w:rsid w:val="7DDFFFCB"/>
    <w:rsid w:val="7DF84369"/>
    <w:rsid w:val="7DFB56C8"/>
    <w:rsid w:val="7E1C64DE"/>
    <w:rsid w:val="7E4572E3"/>
    <w:rsid w:val="7E4C76FE"/>
    <w:rsid w:val="7E6F7216"/>
    <w:rsid w:val="7E71317F"/>
    <w:rsid w:val="7EAF77BA"/>
    <w:rsid w:val="7EC46171"/>
    <w:rsid w:val="7ECE5406"/>
    <w:rsid w:val="7F081ABD"/>
    <w:rsid w:val="7F0B743E"/>
    <w:rsid w:val="7F5E6361"/>
    <w:rsid w:val="7F75093D"/>
    <w:rsid w:val="7F976577"/>
    <w:rsid w:val="7FAFA95B"/>
    <w:rsid w:val="7FEB58C9"/>
    <w:rsid w:val="7FEFDB82"/>
    <w:rsid w:val="7FFE209D"/>
    <w:rsid w:val="8FFFC006"/>
    <w:rsid w:val="9A3BE0EF"/>
    <w:rsid w:val="9DE31487"/>
    <w:rsid w:val="AC7FD443"/>
    <w:rsid w:val="BBEF7E0C"/>
    <w:rsid w:val="BBFB17E4"/>
    <w:rsid w:val="BCFFEC5E"/>
    <w:rsid w:val="BDF62907"/>
    <w:rsid w:val="BE73CA45"/>
    <w:rsid w:val="BFBE47D2"/>
    <w:rsid w:val="BFDED0D1"/>
    <w:rsid w:val="BFFE8590"/>
    <w:rsid w:val="C3DB3BF9"/>
    <w:rsid w:val="CF7BA5D5"/>
    <w:rsid w:val="DCFFF288"/>
    <w:rsid w:val="DF586F84"/>
    <w:rsid w:val="E5FF6B22"/>
    <w:rsid w:val="E78F6A8E"/>
    <w:rsid w:val="E7F9F888"/>
    <w:rsid w:val="E7FFA0F0"/>
    <w:rsid w:val="EB19AEFD"/>
    <w:rsid w:val="EB7F690D"/>
    <w:rsid w:val="EF6AFA54"/>
    <w:rsid w:val="EFAE4350"/>
    <w:rsid w:val="EFD856B9"/>
    <w:rsid w:val="F2FEA823"/>
    <w:rsid w:val="F7A7BB3A"/>
    <w:rsid w:val="F7D0F52B"/>
    <w:rsid w:val="F7FFAF51"/>
    <w:rsid w:val="F87F6448"/>
    <w:rsid w:val="FBD384D9"/>
    <w:rsid w:val="FDFB678E"/>
    <w:rsid w:val="FE7D8BE2"/>
    <w:rsid w:val="FE879131"/>
    <w:rsid w:val="FEFA9859"/>
    <w:rsid w:val="FF7BD217"/>
    <w:rsid w:val="FFBB2937"/>
    <w:rsid w:val="FFDD9ECB"/>
    <w:rsid w:val="FFDF49F2"/>
    <w:rsid w:val="FFEBF38C"/>
    <w:rsid w:val="FFF55F1E"/>
    <w:rsid w:val="FFF95798"/>
    <w:rsid w:val="FFFA4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3"/>
    <w:basedOn w:val="1"/>
    <w:next w:val="7"/>
    <w:autoRedefine/>
    <w:qFormat/>
    <w:uiPriority w:val="9"/>
    <w:pPr>
      <w:keepNext/>
      <w:keepLines/>
      <w:spacing w:before="120" w:after="120"/>
      <w:outlineLvl w:val="2"/>
    </w:pPr>
    <w:rPr>
      <w:b/>
      <w:sz w:val="26"/>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pPr>
    <w:rPr>
      <w:rFonts w:ascii="宋体" w:hAnsi="宋体"/>
      <w:szCs w:val="32"/>
    </w:rPr>
  </w:style>
  <w:style w:type="paragraph" w:styleId="3">
    <w:name w:val="Body Text Indent"/>
    <w:basedOn w:val="1"/>
    <w:next w:val="4"/>
    <w:autoRedefine/>
    <w:qFormat/>
    <w:uiPriority w:val="0"/>
    <w:pPr>
      <w:spacing w:after="120"/>
      <w:ind w:left="420" w:leftChars="200"/>
    </w:pPr>
  </w:style>
  <w:style w:type="paragraph" w:styleId="4">
    <w:name w:val="Body Text Indent 2"/>
    <w:basedOn w:val="1"/>
    <w:next w:val="5"/>
    <w:autoRedefine/>
    <w:qFormat/>
    <w:uiPriority w:val="0"/>
    <w:pPr>
      <w:spacing w:after="120" w:line="480" w:lineRule="auto"/>
      <w:ind w:left="420" w:leftChars="200"/>
    </w:pPr>
  </w:style>
  <w:style w:type="paragraph" w:styleId="5">
    <w:name w:val="toa heading"/>
    <w:basedOn w:val="1"/>
    <w:next w:val="1"/>
    <w:autoRedefine/>
    <w:qFormat/>
    <w:uiPriority w:val="0"/>
    <w:pPr>
      <w:spacing w:before="120" w:after="120" w:line="360" w:lineRule="auto"/>
      <w:ind w:firstLine="200" w:firstLineChars="200"/>
      <w:jc w:val="left"/>
    </w:pPr>
    <w:rPr>
      <w:sz w:val="24"/>
      <w:u w:val="single"/>
    </w:rPr>
  </w:style>
  <w:style w:type="paragraph" w:styleId="7">
    <w:name w:val="Normal Indent"/>
    <w:basedOn w:val="1"/>
    <w:autoRedefine/>
    <w:unhideWhenUsed/>
    <w:qFormat/>
    <w:uiPriority w:val="99"/>
    <w:rPr>
      <w:sz w:val="28"/>
    </w:rPr>
  </w:style>
  <w:style w:type="paragraph" w:styleId="8">
    <w:name w:val="annotation text"/>
    <w:basedOn w:val="1"/>
    <w:autoRedefine/>
    <w:unhideWhenUsed/>
    <w:qFormat/>
    <w:uiPriority w:val="99"/>
    <w:pPr>
      <w:jc w:val="left"/>
    </w:pPr>
  </w:style>
  <w:style w:type="paragraph" w:styleId="9">
    <w:name w:val="Body Text"/>
    <w:basedOn w:val="1"/>
    <w:autoRedefine/>
    <w:unhideWhenUsed/>
    <w:qFormat/>
    <w:uiPriority w:val="99"/>
    <w:pPr>
      <w:adjustRightInd w:val="0"/>
      <w:snapToGrid w:val="0"/>
      <w:spacing w:line="360" w:lineRule="auto"/>
    </w:pPr>
    <w:rPr>
      <w:rFonts w:eastAsia="仿宋_GB2312"/>
      <w:sz w:val="32"/>
    </w:rPr>
  </w:style>
  <w:style w:type="paragraph" w:styleId="10">
    <w:name w:val="Plain Text"/>
    <w:next w:val="11"/>
    <w:autoRedefine/>
    <w:qFormat/>
    <w:uiPriority w:val="0"/>
    <w:pPr>
      <w:widowControl w:val="0"/>
      <w:jc w:val="both"/>
    </w:pPr>
    <w:rPr>
      <w:rFonts w:ascii="宋体" w:hAnsi="Times New Roman" w:eastAsia="宋体" w:cs="Times New Roman"/>
      <w:kern w:val="2"/>
      <w:sz w:val="21"/>
      <w:lang w:val="en-US" w:eastAsia="zh-CN" w:bidi="ar-SA"/>
    </w:rPr>
  </w:style>
  <w:style w:type="paragraph" w:styleId="11">
    <w:name w:val="Date"/>
    <w:next w:val="1"/>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12">
    <w:name w:val="Balloon Text"/>
    <w:basedOn w:val="1"/>
    <w:autoRedefine/>
    <w:semiHidden/>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unhideWhenUsed/>
    <w:qFormat/>
    <w:uiPriority w:val="39"/>
    <w:pPr>
      <w:spacing w:line="300" w:lineRule="exact"/>
      <w:jc w:val="center"/>
    </w:pPr>
    <w:rPr>
      <w:b/>
      <w:caps/>
      <w:sz w:val="20"/>
    </w:rPr>
  </w:style>
  <w:style w:type="table" w:styleId="17">
    <w:name w:val="Table Grid"/>
    <w:basedOn w:val="16"/>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autoRedefine/>
    <w:qFormat/>
    <w:uiPriority w:val="0"/>
  </w:style>
  <w:style w:type="paragraph" w:customStyle="1" w:styleId="20">
    <w:name w:val="Char"/>
    <w:basedOn w:val="1"/>
    <w:autoRedefine/>
    <w:qFormat/>
    <w:uiPriority w:val="0"/>
    <w:pPr>
      <w:spacing w:line="360" w:lineRule="auto"/>
      <w:ind w:firstLine="200" w:firstLineChars="200"/>
    </w:pPr>
    <w:rPr>
      <w:rFonts w:ascii="宋体" w:hAnsi="宋体" w:cs="宋体"/>
      <w:sz w:val="24"/>
      <w:szCs w:val="24"/>
    </w:rPr>
  </w:style>
  <w:style w:type="paragraph" w:customStyle="1" w:styleId="21">
    <w:name w:val="p0"/>
    <w:basedOn w:val="1"/>
    <w:autoRedefine/>
    <w:qFormat/>
    <w:uiPriority w:val="0"/>
    <w:pPr>
      <w:widowControl/>
    </w:pPr>
    <w:rPr>
      <w:kern w:val="0"/>
      <w:szCs w:val="21"/>
    </w:rPr>
  </w:style>
  <w:style w:type="paragraph" w:customStyle="1" w:styleId="22">
    <w:name w:val="报告书正文"/>
    <w:autoRedefine/>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23">
    <w:name w:val="环评正文"/>
    <w:basedOn w:val="1"/>
    <w:autoRedefine/>
    <w:qFormat/>
    <w:uiPriority w:val="0"/>
    <w:pPr>
      <w:spacing w:line="360" w:lineRule="auto"/>
      <w:ind w:firstLine="200" w:firstLineChars="200"/>
    </w:pPr>
    <w:rPr>
      <w:sz w:val="24"/>
    </w:rPr>
  </w:style>
  <w:style w:type="paragraph" w:customStyle="1" w:styleId="24">
    <w:name w:val="2"/>
    <w:basedOn w:val="1"/>
    <w:autoRedefine/>
    <w:qFormat/>
    <w:uiPriority w:val="0"/>
  </w:style>
  <w:style w:type="paragraph" w:customStyle="1" w:styleId="25">
    <w:name w:val="Default"/>
    <w:autoRedefine/>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26">
    <w:name w:val="Char Char Char Char Char Char Char"/>
    <w:basedOn w:val="1"/>
    <w:autoRedefine/>
    <w:qFormat/>
    <w:uiPriority w:val="0"/>
    <w:pPr>
      <w:spacing w:line="360" w:lineRule="auto"/>
      <w:ind w:firstLine="200" w:firstLineChars="200"/>
    </w:pPr>
  </w:style>
  <w:style w:type="paragraph" w:customStyle="1" w:styleId="27">
    <w:name w:val="Char1"/>
    <w:basedOn w:val="1"/>
    <w:autoRedefine/>
    <w:qFormat/>
    <w:uiPriority w:val="0"/>
    <w:pPr>
      <w:spacing w:line="360" w:lineRule="auto"/>
      <w:ind w:firstLine="200" w:firstLineChars="200"/>
    </w:pPr>
    <w:rPr>
      <w:rFonts w:ascii="宋体" w:hAnsi="宋体" w:eastAsia="Times New Roman"/>
      <w:kern w:val="0"/>
      <w:sz w:val="24"/>
      <w:szCs w:val="24"/>
    </w:rPr>
  </w:style>
  <w:style w:type="paragraph" w:customStyle="1" w:styleId="28">
    <w:name w:val="报告表表格文字"/>
    <w:basedOn w:val="1"/>
    <w:autoRedefine/>
    <w:qFormat/>
    <w:uiPriority w:val="0"/>
    <w:pPr>
      <w:jc w:val="center"/>
    </w:pPr>
    <w:rPr>
      <w:rFonts w:cs="方正仿宋简体"/>
      <w:sz w:val="24"/>
    </w:rPr>
  </w:style>
  <w:style w:type="paragraph" w:customStyle="1" w:styleId="29">
    <w:name w:val="报告书表格"/>
    <w:basedOn w:val="1"/>
    <w:autoRedefine/>
    <w:qFormat/>
    <w:uiPriority w:val="0"/>
    <w:pPr>
      <w:adjustRightInd w:val="0"/>
      <w:spacing w:before="60" w:after="60" w:line="240" w:lineRule="atLeast"/>
      <w:jc w:val="center"/>
      <w:textAlignment w:val="baseline"/>
    </w:pPr>
    <w:rPr>
      <w:kern w:val="0"/>
    </w:rPr>
  </w:style>
  <w:style w:type="paragraph" w:customStyle="1" w:styleId="30">
    <w:name w:val="Char Char1 Char Char Char Char Char Char Char Char Char Char Char Char Char Char Char Char Char Char Char Char1 Char"/>
    <w:basedOn w:val="1"/>
    <w:autoRedefine/>
    <w:qFormat/>
    <w:uiPriority w:val="0"/>
    <w:pPr>
      <w:spacing w:line="360" w:lineRule="auto"/>
      <w:ind w:firstLine="200" w:firstLineChars="200"/>
    </w:pPr>
  </w:style>
  <w:style w:type="paragraph" w:customStyle="1" w:styleId="31">
    <w:name w:val="表格文字2"/>
    <w:autoRedefine/>
    <w:qFormat/>
    <w:uiPriority w:val="0"/>
    <w:pPr>
      <w:spacing w:before="60"/>
      <w:jc w:val="center"/>
    </w:pPr>
    <w:rPr>
      <w:rFonts w:ascii="Times New Roman" w:hAnsi="Times New Roman" w:eastAsia="宋体" w:cs="Times New Roman"/>
      <w:lang w:val="en-US" w:eastAsia="zh-CN" w:bidi="ar-SA"/>
    </w:rPr>
  </w:style>
  <w:style w:type="paragraph" w:customStyle="1" w:styleId="32">
    <w:name w:val="Char Char Char Char Char Char Char Char Char Char"/>
    <w:basedOn w:val="1"/>
    <w:autoRedefine/>
    <w:qFormat/>
    <w:uiPriority w:val="0"/>
    <w:pPr>
      <w:spacing w:line="360" w:lineRule="auto"/>
      <w:ind w:firstLine="200" w:firstLineChars="200"/>
    </w:pPr>
  </w:style>
  <w:style w:type="paragraph" w:customStyle="1" w:styleId="33">
    <w:name w:val="Char Char2"/>
    <w:basedOn w:val="1"/>
    <w:autoRedefine/>
    <w:qFormat/>
    <w:uiPriority w:val="0"/>
  </w:style>
  <w:style w:type="paragraph" w:customStyle="1" w:styleId="34">
    <w:name w:val="中文报告书样式"/>
    <w:basedOn w:val="1"/>
    <w:autoRedefine/>
    <w:qFormat/>
    <w:uiPriority w:val="0"/>
    <w:pPr>
      <w:adjustRightInd w:val="0"/>
      <w:spacing w:line="480" w:lineRule="atLeast"/>
      <w:ind w:firstLine="482"/>
      <w:textAlignment w:val="baseline"/>
    </w:pPr>
    <w:rPr>
      <w:kern w:val="24"/>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番茄花园</Company>
  <Pages>1</Pages>
  <Words>1584</Words>
  <Characters>1782</Characters>
  <Lines>10</Lines>
  <Paragraphs>2</Paragraphs>
  <TotalTime>30</TotalTime>
  <ScaleCrop>false</ScaleCrop>
  <LinksUpToDate>false</LinksUpToDate>
  <CharactersWithSpaces>1903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2021-12-22T02:33:00Z</dcterms:created>
  <dc:creator>番茄花园</dc:creator>
  <cp:lastModifiedBy>lenovo</cp:lastModifiedBy>
  <cp:lastPrinted>2024-12-30T01:17:00Z</cp:lastPrinted>
  <dcterms:modified xsi:type="dcterms:W3CDTF">2025-03-31T07:09:45Z</dcterms:modified>
  <dc:title>审批意见：　　　　　　　　　        宝环管（或许可）表[XXXX]X号</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F9B99ACF6F074410BFC7250334F2244F_13</vt:lpwstr>
  </property>
  <property fmtid="{D5CDD505-2E9C-101B-9397-08002B2CF9AE}" pid="4" name="KSOTemplateDocerSaveRecord">
    <vt:lpwstr>eyJoZGlkIjoiNDFjODdmNThmY2U3ZDUxMTE2MTI4NGVhN2VjOTg4MTEifQ==</vt:lpwstr>
  </property>
</Properties>
</file>