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857EAF" w14:textId="77777777" w:rsidR="0003378C" w:rsidRPr="00D44DF6" w:rsidRDefault="00DE0433">
      <w:pPr>
        <w:jc w:val="center"/>
        <w:rPr>
          <w:b/>
          <w:sz w:val="36"/>
          <w:szCs w:val="44"/>
        </w:rPr>
      </w:pPr>
      <w:r w:rsidRPr="00D44DF6">
        <w:rPr>
          <w:rFonts w:ascii="宋体" w:hAnsi="宋体" w:cs="宋体" w:hint="eastAsia"/>
          <w:b/>
          <w:sz w:val="36"/>
          <w:szCs w:val="44"/>
        </w:rPr>
        <w:t>20</w:t>
      </w:r>
      <w:r w:rsidRPr="00D44DF6">
        <w:rPr>
          <w:rFonts w:ascii="宋体" w:hAnsi="宋体" w:cs="宋体" w:hint="eastAsia"/>
          <w:b/>
          <w:sz w:val="36"/>
          <w:szCs w:val="44"/>
          <w:lang w:val="en"/>
        </w:rPr>
        <w:t>2</w:t>
      </w:r>
      <w:r w:rsidRPr="00D44DF6">
        <w:rPr>
          <w:rFonts w:ascii="宋体" w:hAnsi="宋体" w:cs="宋体" w:hint="eastAsia"/>
          <w:b/>
          <w:sz w:val="36"/>
          <w:szCs w:val="44"/>
        </w:rPr>
        <w:t>1</w:t>
      </w:r>
      <w:r w:rsidRPr="00D44DF6">
        <w:rPr>
          <w:rFonts w:hint="eastAsia"/>
          <w:b/>
          <w:sz w:val="36"/>
          <w:szCs w:val="44"/>
        </w:rPr>
        <w:t>年京津风沙</w:t>
      </w:r>
      <w:proofErr w:type="gramStart"/>
      <w:r w:rsidRPr="00D44DF6">
        <w:rPr>
          <w:rFonts w:hint="eastAsia"/>
          <w:b/>
          <w:sz w:val="36"/>
          <w:szCs w:val="44"/>
        </w:rPr>
        <w:t>源治理</w:t>
      </w:r>
      <w:proofErr w:type="gramEnd"/>
      <w:r w:rsidRPr="00D44DF6">
        <w:rPr>
          <w:rFonts w:hint="eastAsia"/>
          <w:b/>
          <w:sz w:val="36"/>
          <w:szCs w:val="44"/>
        </w:rPr>
        <w:t>工程</w:t>
      </w:r>
      <w:r w:rsidRPr="00D44DF6">
        <w:rPr>
          <w:b/>
          <w:sz w:val="36"/>
          <w:szCs w:val="44"/>
        </w:rPr>
        <w:t>绩效自评报告</w:t>
      </w:r>
    </w:p>
    <w:p w14:paraId="4559E46D" w14:textId="77777777" w:rsidR="0003378C" w:rsidRPr="00D44DF6" w:rsidRDefault="0003378C">
      <w:pPr>
        <w:rPr>
          <w:rFonts w:eastAsia="黑体"/>
          <w:bCs/>
          <w:sz w:val="30"/>
          <w:szCs w:val="32"/>
        </w:rPr>
      </w:pPr>
    </w:p>
    <w:p w14:paraId="249D162C" w14:textId="77777777" w:rsidR="0003378C" w:rsidRPr="00D44DF6" w:rsidRDefault="00DE0433">
      <w:pPr>
        <w:rPr>
          <w:rFonts w:ascii="仿宋" w:eastAsia="仿宋" w:hAnsi="仿宋"/>
          <w:b/>
          <w:bCs/>
          <w:sz w:val="32"/>
          <w:szCs w:val="32"/>
        </w:rPr>
      </w:pPr>
      <w:r w:rsidRPr="00D44DF6">
        <w:rPr>
          <w:rFonts w:ascii="仿宋" w:eastAsia="仿宋" w:hAnsi="仿宋" w:hint="eastAsia"/>
          <w:b/>
          <w:bCs/>
          <w:sz w:val="32"/>
          <w:szCs w:val="32"/>
        </w:rPr>
        <w:t>一、绩效目标分解下达情况</w:t>
      </w:r>
    </w:p>
    <w:p w14:paraId="39685107" w14:textId="77777777" w:rsidR="0003378C" w:rsidRPr="00D44DF6" w:rsidRDefault="00DE0433">
      <w:pPr>
        <w:ind w:firstLineChars="200" w:firstLine="643"/>
        <w:rPr>
          <w:rFonts w:ascii="仿宋" w:eastAsia="仿宋" w:hAnsi="仿宋"/>
          <w:b/>
          <w:bCs/>
          <w:sz w:val="32"/>
          <w:szCs w:val="32"/>
        </w:rPr>
      </w:pPr>
      <w:r w:rsidRPr="00D44DF6">
        <w:rPr>
          <w:rFonts w:ascii="仿宋" w:eastAsia="仿宋" w:hAnsi="仿宋" w:hint="eastAsia"/>
          <w:b/>
          <w:bCs/>
          <w:sz w:val="32"/>
          <w:szCs w:val="32"/>
        </w:rPr>
        <w:t>1.项目主要内容</w:t>
      </w:r>
    </w:p>
    <w:p w14:paraId="71F95879"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宝坻区京津风沙</w:t>
      </w:r>
      <w:proofErr w:type="gramStart"/>
      <w:r w:rsidRPr="00D44DF6">
        <w:rPr>
          <w:rFonts w:ascii="仿宋" w:eastAsia="仿宋" w:hAnsi="仿宋" w:hint="eastAsia"/>
          <w:sz w:val="32"/>
          <w:szCs w:val="32"/>
        </w:rPr>
        <w:t>源治理</w:t>
      </w:r>
      <w:proofErr w:type="gramEnd"/>
      <w:r w:rsidRPr="00D44DF6">
        <w:rPr>
          <w:rFonts w:ascii="仿宋" w:eastAsia="仿宋" w:hAnsi="仿宋" w:hint="eastAsia"/>
          <w:sz w:val="32"/>
          <w:szCs w:val="32"/>
        </w:rPr>
        <w:t>二期工程2021年度水利部分项目区位于大口屯镇、牛家牌镇。大口屯</w:t>
      </w:r>
      <w:proofErr w:type="gramStart"/>
      <w:r w:rsidRPr="00D44DF6">
        <w:rPr>
          <w:rFonts w:ascii="仿宋" w:eastAsia="仿宋" w:hAnsi="仿宋" w:hint="eastAsia"/>
          <w:sz w:val="32"/>
          <w:szCs w:val="32"/>
        </w:rPr>
        <w:t>镇项目</w:t>
      </w:r>
      <w:proofErr w:type="gramEnd"/>
      <w:r w:rsidRPr="00D44DF6">
        <w:rPr>
          <w:rFonts w:ascii="仿宋" w:eastAsia="仿宋" w:hAnsi="仿宋" w:hint="eastAsia"/>
          <w:sz w:val="32"/>
          <w:szCs w:val="32"/>
        </w:rPr>
        <w:t>区位于为大口屯镇庞家湾村西北侧菊花基地和大口屯镇西南仁垺村南侧，牛家牌</w:t>
      </w:r>
      <w:proofErr w:type="gramStart"/>
      <w:r w:rsidRPr="00D44DF6">
        <w:rPr>
          <w:rFonts w:ascii="仿宋" w:eastAsia="仿宋" w:hAnsi="仿宋" w:hint="eastAsia"/>
          <w:sz w:val="32"/>
          <w:szCs w:val="32"/>
        </w:rPr>
        <w:t>镇项目</w:t>
      </w:r>
      <w:proofErr w:type="gramEnd"/>
      <w:r w:rsidRPr="00D44DF6">
        <w:rPr>
          <w:rFonts w:ascii="仿宋" w:eastAsia="仿宋" w:hAnsi="仿宋" w:hint="eastAsia"/>
          <w:sz w:val="32"/>
          <w:szCs w:val="32"/>
        </w:rPr>
        <w:t>区位于牛家牌镇翟家庄村南侧。</w:t>
      </w:r>
    </w:p>
    <w:p w14:paraId="05C41F7C"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项目主要内容为，宝坻区水利工程共计水源工程60处，节水工程灌溉工程60处。本年度实际完成水源工程60处，节水工程灌溉工程60处。</w:t>
      </w:r>
    </w:p>
    <w:p w14:paraId="4FF87F89" w14:textId="77777777" w:rsidR="0003378C" w:rsidRPr="00D44DF6" w:rsidRDefault="00DE0433">
      <w:pPr>
        <w:ind w:firstLineChars="200" w:firstLine="643"/>
        <w:rPr>
          <w:rFonts w:ascii="仿宋" w:eastAsia="仿宋" w:hAnsi="仿宋"/>
          <w:b/>
          <w:bCs/>
          <w:sz w:val="32"/>
          <w:szCs w:val="32"/>
        </w:rPr>
      </w:pPr>
      <w:r w:rsidRPr="00D44DF6">
        <w:rPr>
          <w:rFonts w:ascii="仿宋" w:eastAsia="仿宋" w:hAnsi="仿宋" w:hint="eastAsia"/>
          <w:b/>
          <w:bCs/>
          <w:sz w:val="32"/>
          <w:szCs w:val="32"/>
        </w:rPr>
        <w:t>2.实施情况</w:t>
      </w:r>
    </w:p>
    <w:p w14:paraId="0B417A0C"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通过比选方式确定了勘察设计单位为天津泰来勘测设计有限公司。项目初步设计批复后，宝坻区水务局明确了天津市宝坻区水利工程服务中心为项目法人。法人单位随即组织有关人员进行项目部组建、开工报建及招投标工作。通过招标比选等方式确定了，监理单位为天津市金</w:t>
      </w:r>
      <w:proofErr w:type="gramStart"/>
      <w:r w:rsidRPr="00D44DF6">
        <w:rPr>
          <w:rFonts w:ascii="仿宋" w:eastAsia="仿宋" w:hAnsi="仿宋" w:hint="eastAsia"/>
          <w:sz w:val="32"/>
          <w:szCs w:val="32"/>
        </w:rPr>
        <w:t>帆工程</w:t>
      </w:r>
      <w:proofErr w:type="gramEnd"/>
      <w:r w:rsidRPr="00D44DF6">
        <w:rPr>
          <w:rFonts w:ascii="仿宋" w:eastAsia="仿宋" w:hAnsi="仿宋" w:hint="eastAsia"/>
          <w:sz w:val="32"/>
          <w:szCs w:val="32"/>
        </w:rPr>
        <w:t>建设监理有限公司，施工单位为天津市欣然市政工程有限公司，并分别签订了监理、施工合同，制定了工程质量、安全、投资、财务、审计、验收等各项制度，切实加强了对工程质量、施工安全、工程进度和建设资金的有效控制和管理，确保了顺利圆满完成工程建设任务。</w:t>
      </w:r>
    </w:p>
    <w:p w14:paraId="69F3D894" w14:textId="77777777" w:rsidR="0003378C" w:rsidRPr="00D44DF6" w:rsidRDefault="00DE0433">
      <w:pPr>
        <w:ind w:firstLineChars="200" w:firstLine="643"/>
        <w:rPr>
          <w:rFonts w:ascii="仿宋" w:eastAsia="仿宋" w:hAnsi="仿宋"/>
          <w:b/>
          <w:bCs/>
          <w:sz w:val="32"/>
          <w:szCs w:val="32"/>
        </w:rPr>
      </w:pPr>
      <w:r w:rsidRPr="00D44DF6">
        <w:rPr>
          <w:rFonts w:ascii="仿宋" w:eastAsia="仿宋" w:hAnsi="仿宋" w:hint="eastAsia"/>
          <w:b/>
          <w:bCs/>
          <w:sz w:val="32"/>
          <w:szCs w:val="32"/>
        </w:rPr>
        <w:lastRenderedPageBreak/>
        <w:t>3.实施主体</w:t>
      </w:r>
    </w:p>
    <w:p w14:paraId="4AC884C6"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该项目主管预算部门为天津市水务局。实施主体为天津市宝坻区水务局。为确保该项目工程建管工作的顺利实施，宝坻区水务局在该工程初步设计批复后，明确天津市宝坻区水利工程服务中心为该项目的项目法人。</w:t>
      </w:r>
    </w:p>
    <w:p w14:paraId="099A8610" w14:textId="77777777" w:rsidR="0003378C" w:rsidRPr="00D44DF6" w:rsidRDefault="00DE0433">
      <w:pPr>
        <w:ind w:firstLineChars="200" w:firstLine="643"/>
        <w:rPr>
          <w:rFonts w:ascii="仿宋" w:eastAsia="仿宋" w:hAnsi="仿宋"/>
          <w:b/>
          <w:bCs/>
          <w:sz w:val="32"/>
          <w:szCs w:val="32"/>
        </w:rPr>
      </w:pPr>
      <w:r w:rsidRPr="00D44DF6">
        <w:rPr>
          <w:rFonts w:ascii="仿宋" w:eastAsia="仿宋" w:hAnsi="仿宋" w:hint="eastAsia"/>
          <w:b/>
          <w:bCs/>
          <w:sz w:val="32"/>
          <w:szCs w:val="32"/>
        </w:rPr>
        <w:t>4.下达预算</w:t>
      </w:r>
    </w:p>
    <w:p w14:paraId="0815B708"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2021年7月30日，天津水务局以津水</w:t>
      </w:r>
      <w:proofErr w:type="gramStart"/>
      <w:r w:rsidRPr="00D44DF6">
        <w:rPr>
          <w:rFonts w:ascii="仿宋" w:eastAsia="仿宋" w:hAnsi="仿宋" w:hint="eastAsia"/>
          <w:sz w:val="32"/>
          <w:szCs w:val="32"/>
        </w:rPr>
        <w:t>规</w:t>
      </w:r>
      <w:proofErr w:type="gramEnd"/>
      <w:r w:rsidRPr="00D44DF6">
        <w:rPr>
          <w:rFonts w:ascii="仿宋" w:eastAsia="仿宋" w:hAnsi="仿宋" w:hint="eastAsia"/>
          <w:sz w:val="32"/>
          <w:szCs w:val="32"/>
        </w:rPr>
        <w:t>计【2021】43号文，下达京津风沙</w:t>
      </w:r>
      <w:proofErr w:type="gramStart"/>
      <w:r w:rsidRPr="00D44DF6">
        <w:rPr>
          <w:rFonts w:ascii="仿宋" w:eastAsia="仿宋" w:hAnsi="仿宋" w:hint="eastAsia"/>
          <w:sz w:val="32"/>
          <w:szCs w:val="32"/>
        </w:rPr>
        <w:t>源治理</w:t>
      </w:r>
      <w:proofErr w:type="gramEnd"/>
      <w:r w:rsidRPr="00D44DF6">
        <w:rPr>
          <w:rFonts w:ascii="仿宋" w:eastAsia="仿宋" w:hAnsi="仿宋" w:hint="eastAsia"/>
          <w:sz w:val="32"/>
          <w:szCs w:val="32"/>
        </w:rPr>
        <w:t>二期工程2021年度水利部分项目投资计划，宝坻区水利工程共计水源工程60处，节水工程灌溉工程60处。合计资金630万元，其中中央预算内资金360万，一般债券资金121万元，区自筹资金149万元。</w:t>
      </w:r>
    </w:p>
    <w:p w14:paraId="441B6F9E"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2021年9月</w:t>
      </w:r>
      <w:r w:rsidRPr="00D44DF6">
        <w:rPr>
          <w:rFonts w:ascii="仿宋" w:eastAsia="仿宋" w:hAnsi="仿宋"/>
          <w:sz w:val="32"/>
          <w:szCs w:val="32"/>
          <w:lang w:val="en"/>
        </w:rPr>
        <w:t>2</w:t>
      </w:r>
      <w:r w:rsidRPr="00D44DF6">
        <w:rPr>
          <w:rFonts w:ascii="仿宋" w:eastAsia="仿宋" w:hAnsi="仿宋" w:hint="eastAsia"/>
          <w:sz w:val="32"/>
          <w:szCs w:val="32"/>
        </w:rPr>
        <w:t>8日，天津市发展和改革委员会以</w:t>
      </w:r>
      <w:proofErr w:type="gramStart"/>
      <w:r w:rsidRPr="00D44DF6">
        <w:rPr>
          <w:rFonts w:ascii="仿宋" w:eastAsia="仿宋" w:hAnsi="仿宋" w:hint="eastAsia"/>
          <w:sz w:val="32"/>
          <w:szCs w:val="32"/>
        </w:rPr>
        <w:t>津发改批复</w:t>
      </w:r>
      <w:proofErr w:type="gramEnd"/>
      <w:r w:rsidRPr="00D44DF6">
        <w:rPr>
          <w:rFonts w:ascii="仿宋" w:eastAsia="仿宋" w:hAnsi="仿宋" w:hint="eastAsia"/>
          <w:sz w:val="32"/>
          <w:szCs w:val="32"/>
        </w:rPr>
        <w:t>（投资）【2021】71号批复了天津市</w:t>
      </w:r>
      <w:r w:rsidRPr="00D44DF6">
        <w:rPr>
          <w:rFonts w:ascii="仿宋" w:eastAsia="仿宋" w:hAnsi="仿宋" w:cs="仿宋" w:hint="eastAsia"/>
          <w:sz w:val="32"/>
          <w:szCs w:val="32"/>
        </w:rPr>
        <w:t>宝坻区京津风沙</w:t>
      </w:r>
      <w:proofErr w:type="gramStart"/>
      <w:r w:rsidRPr="00D44DF6">
        <w:rPr>
          <w:rFonts w:ascii="仿宋" w:eastAsia="仿宋" w:hAnsi="仿宋" w:cs="仿宋" w:hint="eastAsia"/>
          <w:sz w:val="32"/>
          <w:szCs w:val="32"/>
        </w:rPr>
        <w:t>源治理</w:t>
      </w:r>
      <w:proofErr w:type="gramEnd"/>
      <w:r w:rsidRPr="00D44DF6">
        <w:rPr>
          <w:rFonts w:ascii="仿宋" w:eastAsia="仿宋" w:hAnsi="仿宋" w:cs="仿宋" w:hint="eastAsia"/>
          <w:sz w:val="32"/>
          <w:szCs w:val="32"/>
        </w:rPr>
        <w:t>二期工程2021年度工程水利部分概算的复函</w:t>
      </w:r>
      <w:r w:rsidRPr="00D44DF6">
        <w:rPr>
          <w:rFonts w:ascii="仿宋" w:eastAsia="仿宋" w:hAnsi="仿宋" w:hint="eastAsia"/>
          <w:sz w:val="32"/>
          <w:szCs w:val="32"/>
        </w:rPr>
        <w:t>。批复水利项目总投资627.42万元，其中中央预算内资金360万，市级财政配套资金121万元，其余部分为区级财政配套资金万元。</w:t>
      </w:r>
    </w:p>
    <w:p w14:paraId="6B95E5B3"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2021年10月9日，天津水务局以津水</w:t>
      </w:r>
      <w:proofErr w:type="gramStart"/>
      <w:r w:rsidRPr="00D44DF6">
        <w:rPr>
          <w:rFonts w:ascii="仿宋" w:eastAsia="仿宋" w:hAnsi="仿宋" w:hint="eastAsia"/>
          <w:sz w:val="32"/>
          <w:szCs w:val="32"/>
        </w:rPr>
        <w:t>规</w:t>
      </w:r>
      <w:proofErr w:type="gramEnd"/>
      <w:r w:rsidRPr="00D44DF6">
        <w:rPr>
          <w:rFonts w:ascii="仿宋" w:eastAsia="仿宋" w:hAnsi="仿宋" w:hint="eastAsia"/>
          <w:sz w:val="32"/>
          <w:szCs w:val="32"/>
        </w:rPr>
        <w:t>计【2021】62号文，下达关于调整京津风沙</w:t>
      </w:r>
      <w:proofErr w:type="gramStart"/>
      <w:r w:rsidRPr="00D44DF6">
        <w:rPr>
          <w:rFonts w:ascii="仿宋" w:eastAsia="仿宋" w:hAnsi="仿宋" w:hint="eastAsia"/>
          <w:sz w:val="32"/>
          <w:szCs w:val="32"/>
        </w:rPr>
        <w:t>源治理</w:t>
      </w:r>
      <w:proofErr w:type="gramEnd"/>
      <w:r w:rsidRPr="00D44DF6">
        <w:rPr>
          <w:rFonts w:ascii="仿宋" w:eastAsia="仿宋" w:hAnsi="仿宋" w:hint="eastAsia"/>
          <w:sz w:val="32"/>
          <w:szCs w:val="32"/>
        </w:rPr>
        <w:t>二期工程2021年度水利部分项目投资计划的通知，批复宝坻区水利项目总投资627.42万元，其中中央预算内资金360万，一般债券资金121万元，区自筹资金146.42万元。</w:t>
      </w:r>
    </w:p>
    <w:p w14:paraId="7099F40B" w14:textId="77777777" w:rsidR="0003378C" w:rsidRPr="00D44DF6" w:rsidRDefault="00DE0433">
      <w:pPr>
        <w:pStyle w:val="a3"/>
        <w:ind w:firstLineChars="200" w:firstLine="640"/>
        <w:rPr>
          <w:rFonts w:ascii="仿宋" w:eastAsia="仿宋" w:hAnsi="仿宋"/>
          <w:sz w:val="32"/>
          <w:szCs w:val="32"/>
        </w:rPr>
      </w:pPr>
      <w:r w:rsidRPr="00D44DF6">
        <w:rPr>
          <w:rFonts w:ascii="仿宋" w:eastAsia="仿宋" w:hAnsi="仿宋" w:hint="eastAsia"/>
          <w:sz w:val="32"/>
          <w:szCs w:val="32"/>
        </w:rPr>
        <w:lastRenderedPageBreak/>
        <w:t>该项目区自筹部分为本次绩效评价主要内容。年初申报区财政局计划预算数94万元，</w:t>
      </w:r>
      <w:proofErr w:type="gramStart"/>
      <w:r w:rsidRPr="00D44DF6">
        <w:rPr>
          <w:rFonts w:ascii="仿宋" w:eastAsia="仿宋" w:hAnsi="仿宋" w:hint="eastAsia"/>
          <w:sz w:val="32"/>
          <w:szCs w:val="32"/>
        </w:rPr>
        <w:t>市发改委</w:t>
      </w:r>
      <w:proofErr w:type="gramEnd"/>
      <w:r w:rsidRPr="00D44DF6">
        <w:rPr>
          <w:rFonts w:ascii="仿宋" w:eastAsia="仿宋" w:hAnsi="仿宋" w:hint="eastAsia"/>
          <w:sz w:val="32"/>
          <w:szCs w:val="32"/>
        </w:rPr>
        <w:t>、市水</w:t>
      </w:r>
      <w:proofErr w:type="gramStart"/>
      <w:r w:rsidRPr="00D44DF6">
        <w:rPr>
          <w:rFonts w:ascii="仿宋" w:eastAsia="仿宋" w:hAnsi="仿宋" w:hint="eastAsia"/>
          <w:sz w:val="32"/>
          <w:szCs w:val="32"/>
        </w:rPr>
        <w:t>务</w:t>
      </w:r>
      <w:proofErr w:type="gramEnd"/>
      <w:r w:rsidRPr="00D44DF6">
        <w:rPr>
          <w:rFonts w:ascii="仿宋" w:eastAsia="仿宋" w:hAnsi="仿宋" w:hint="eastAsia"/>
          <w:sz w:val="32"/>
          <w:szCs w:val="32"/>
        </w:rPr>
        <w:t>局批复146.42万元。全年预算数为146.42万元。项目主要总投资627.42万元，其中水源工程成本141万元，治理节水灌溉工程成本329万元，为除去二类费后工程成本。</w:t>
      </w:r>
    </w:p>
    <w:p w14:paraId="5D34391D" w14:textId="77777777" w:rsidR="0003378C" w:rsidRPr="00D44DF6" w:rsidRDefault="00DE0433">
      <w:pPr>
        <w:ind w:firstLineChars="200" w:firstLine="643"/>
        <w:rPr>
          <w:rFonts w:ascii="仿宋" w:eastAsia="仿宋" w:hAnsi="仿宋"/>
          <w:b/>
          <w:bCs/>
          <w:sz w:val="32"/>
          <w:szCs w:val="32"/>
        </w:rPr>
      </w:pPr>
      <w:r w:rsidRPr="00D44DF6">
        <w:rPr>
          <w:rFonts w:ascii="仿宋" w:eastAsia="仿宋" w:hAnsi="仿宋" w:hint="eastAsia"/>
          <w:b/>
          <w:bCs/>
          <w:sz w:val="32"/>
          <w:szCs w:val="32"/>
        </w:rPr>
        <w:t>5.绩效目标情况</w:t>
      </w:r>
    </w:p>
    <w:p w14:paraId="0C828242" w14:textId="77777777" w:rsidR="0003378C" w:rsidRPr="00D44DF6" w:rsidRDefault="00DE0433">
      <w:pPr>
        <w:pStyle w:val="af"/>
        <w:adjustRightInd w:val="0"/>
        <w:snapToGrid w:val="0"/>
        <w:spacing w:line="360" w:lineRule="auto"/>
        <w:ind w:firstLine="640"/>
        <w:rPr>
          <w:rFonts w:ascii="仿宋" w:eastAsia="仿宋" w:hAnsi="仿宋"/>
          <w:sz w:val="32"/>
          <w:szCs w:val="32"/>
        </w:rPr>
      </w:pPr>
      <w:r w:rsidRPr="00D44DF6">
        <w:rPr>
          <w:rFonts w:ascii="仿宋" w:eastAsia="仿宋" w:hAnsi="仿宋" w:hint="eastAsia"/>
          <w:sz w:val="32"/>
          <w:szCs w:val="32"/>
        </w:rPr>
        <w:t>2021年初我局制定了2021年度绩效目标，主要目标共3项，分为产出目标4项、效益目标2项、满意</w:t>
      </w:r>
      <w:proofErr w:type="gramStart"/>
      <w:r w:rsidRPr="00D44DF6">
        <w:rPr>
          <w:rFonts w:ascii="仿宋" w:eastAsia="仿宋" w:hAnsi="仿宋" w:hint="eastAsia"/>
          <w:sz w:val="32"/>
          <w:szCs w:val="32"/>
        </w:rPr>
        <w:t>度目标</w:t>
      </w:r>
      <w:proofErr w:type="gramEnd"/>
      <w:r w:rsidRPr="00D44DF6">
        <w:rPr>
          <w:rFonts w:ascii="仿宋" w:eastAsia="仿宋" w:hAnsi="仿宋" w:hint="eastAsia"/>
          <w:sz w:val="32"/>
          <w:szCs w:val="32"/>
        </w:rPr>
        <w:t>1项。如下图所示：</w:t>
      </w:r>
    </w:p>
    <w:tbl>
      <w:tblPr>
        <w:tblW w:w="8003" w:type="dxa"/>
        <w:tblInd w:w="93" w:type="dxa"/>
        <w:tblLook w:val="04A0" w:firstRow="1" w:lastRow="0" w:firstColumn="1" w:lastColumn="0" w:noHBand="0" w:noVBand="1"/>
      </w:tblPr>
      <w:tblGrid>
        <w:gridCol w:w="560"/>
        <w:gridCol w:w="1038"/>
        <w:gridCol w:w="3991"/>
        <w:gridCol w:w="2414"/>
      </w:tblGrid>
      <w:tr w:rsidR="00D44DF6" w:rsidRPr="00D44DF6" w14:paraId="3B9C3942" w14:textId="77777777">
        <w:trPr>
          <w:trHeight w:val="522"/>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CBE769"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一级</w:t>
            </w:r>
            <w:r w:rsidRPr="00D44DF6">
              <w:rPr>
                <w:rFonts w:ascii="宋体" w:eastAsia="宋体" w:hAnsi="宋体" w:cs="宋体" w:hint="eastAsia"/>
                <w:kern w:val="0"/>
                <w:sz w:val="20"/>
                <w:szCs w:val="20"/>
                <w:lang w:bidi="ar"/>
              </w:rPr>
              <w:br/>
              <w:t>指标</w:t>
            </w:r>
          </w:p>
        </w:tc>
        <w:tc>
          <w:tcPr>
            <w:tcW w:w="10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795AEB"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二级指标</w:t>
            </w:r>
          </w:p>
        </w:tc>
        <w:tc>
          <w:tcPr>
            <w:tcW w:w="39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A1D6EB"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三级指标</w:t>
            </w:r>
          </w:p>
        </w:tc>
        <w:tc>
          <w:tcPr>
            <w:tcW w:w="24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BEBE6E"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指标值</w:t>
            </w:r>
          </w:p>
        </w:tc>
      </w:tr>
      <w:tr w:rsidR="00D44DF6" w:rsidRPr="00D44DF6" w14:paraId="72B9E1DD" w14:textId="77777777">
        <w:trPr>
          <w:trHeight w:val="522"/>
        </w:trPr>
        <w:tc>
          <w:tcPr>
            <w:tcW w:w="56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34D74C3"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产</w:t>
            </w:r>
            <w:r w:rsidRPr="00D44DF6">
              <w:rPr>
                <w:rFonts w:ascii="宋体" w:eastAsia="宋体" w:hAnsi="宋体" w:cs="宋体" w:hint="eastAsia"/>
                <w:kern w:val="0"/>
                <w:sz w:val="20"/>
                <w:szCs w:val="20"/>
                <w:lang w:bidi="ar"/>
              </w:rPr>
              <w:br/>
              <w:t>出</w:t>
            </w:r>
            <w:r w:rsidRPr="00D44DF6">
              <w:rPr>
                <w:rFonts w:ascii="宋体" w:eastAsia="宋体" w:hAnsi="宋体" w:cs="宋体" w:hint="eastAsia"/>
                <w:kern w:val="0"/>
                <w:sz w:val="20"/>
                <w:szCs w:val="20"/>
                <w:lang w:bidi="ar"/>
              </w:rPr>
              <w:br/>
              <w:t>指</w:t>
            </w:r>
            <w:r w:rsidRPr="00D44DF6">
              <w:rPr>
                <w:rFonts w:ascii="宋体" w:eastAsia="宋体" w:hAnsi="宋体" w:cs="宋体" w:hint="eastAsia"/>
                <w:kern w:val="0"/>
                <w:sz w:val="20"/>
                <w:szCs w:val="20"/>
                <w:lang w:bidi="ar"/>
              </w:rPr>
              <w:br/>
              <w:t>标</w:t>
            </w:r>
          </w:p>
        </w:tc>
        <w:tc>
          <w:tcPr>
            <w:tcW w:w="103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D854A3B"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数量指标</w:t>
            </w:r>
          </w:p>
        </w:tc>
        <w:tc>
          <w:tcPr>
            <w:tcW w:w="39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7DC120"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新建水源工程</w:t>
            </w:r>
          </w:p>
        </w:tc>
        <w:tc>
          <w:tcPr>
            <w:tcW w:w="24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66E707" w14:textId="77777777" w:rsidR="0003378C" w:rsidRPr="00D44DF6" w:rsidRDefault="00DE0433">
            <w:pPr>
              <w:widowControl/>
              <w:jc w:val="center"/>
              <w:textAlignment w:val="center"/>
              <w:rPr>
                <w:rFonts w:ascii="宋体" w:eastAsia="宋体" w:hAnsi="宋体" w:cs="宋体"/>
                <w:sz w:val="24"/>
              </w:rPr>
            </w:pPr>
            <w:r w:rsidRPr="00D44DF6">
              <w:rPr>
                <w:rFonts w:ascii="宋体" w:eastAsia="宋体" w:hAnsi="宋体" w:cs="宋体" w:hint="eastAsia"/>
                <w:kern w:val="0"/>
                <w:sz w:val="24"/>
                <w:lang w:bidi="ar"/>
              </w:rPr>
              <w:t>60处</w:t>
            </w:r>
          </w:p>
        </w:tc>
      </w:tr>
      <w:tr w:rsidR="00D44DF6" w:rsidRPr="00D44DF6" w14:paraId="7A42A44B" w14:textId="77777777">
        <w:trPr>
          <w:trHeight w:val="519"/>
        </w:trPr>
        <w:tc>
          <w:tcPr>
            <w:tcW w:w="5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1AD1D2" w14:textId="77777777" w:rsidR="0003378C" w:rsidRPr="00D44DF6" w:rsidRDefault="0003378C">
            <w:pPr>
              <w:jc w:val="center"/>
              <w:rPr>
                <w:rFonts w:ascii="宋体" w:eastAsia="宋体" w:hAnsi="宋体" w:cs="宋体"/>
                <w:sz w:val="20"/>
                <w:szCs w:val="20"/>
              </w:rPr>
            </w:pPr>
          </w:p>
        </w:tc>
        <w:tc>
          <w:tcPr>
            <w:tcW w:w="103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F04CE9" w14:textId="77777777" w:rsidR="0003378C" w:rsidRPr="00D44DF6" w:rsidRDefault="0003378C">
            <w:pPr>
              <w:jc w:val="center"/>
              <w:rPr>
                <w:rFonts w:ascii="宋体" w:eastAsia="宋体" w:hAnsi="宋体" w:cs="宋体"/>
                <w:sz w:val="20"/>
                <w:szCs w:val="20"/>
              </w:rPr>
            </w:pPr>
          </w:p>
        </w:tc>
        <w:tc>
          <w:tcPr>
            <w:tcW w:w="39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C38EDD"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新建节水灌溉工程</w:t>
            </w:r>
          </w:p>
        </w:tc>
        <w:tc>
          <w:tcPr>
            <w:tcW w:w="24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4C96D1" w14:textId="77777777" w:rsidR="0003378C" w:rsidRPr="00D44DF6" w:rsidRDefault="00DE0433">
            <w:pPr>
              <w:widowControl/>
              <w:jc w:val="center"/>
              <w:textAlignment w:val="center"/>
              <w:rPr>
                <w:rFonts w:ascii="宋体" w:eastAsia="宋体" w:hAnsi="宋体" w:cs="宋体"/>
                <w:sz w:val="24"/>
              </w:rPr>
            </w:pPr>
            <w:r w:rsidRPr="00D44DF6">
              <w:rPr>
                <w:rFonts w:ascii="宋体" w:eastAsia="宋体" w:hAnsi="宋体" w:cs="宋体" w:hint="eastAsia"/>
                <w:kern w:val="0"/>
                <w:sz w:val="24"/>
                <w:lang w:bidi="ar"/>
              </w:rPr>
              <w:t>60处</w:t>
            </w:r>
          </w:p>
        </w:tc>
      </w:tr>
      <w:tr w:rsidR="00D44DF6" w:rsidRPr="00D44DF6" w14:paraId="071A4B92" w14:textId="77777777">
        <w:trPr>
          <w:trHeight w:val="519"/>
        </w:trPr>
        <w:tc>
          <w:tcPr>
            <w:tcW w:w="5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A5BF50" w14:textId="77777777" w:rsidR="0003378C" w:rsidRPr="00D44DF6" w:rsidRDefault="0003378C">
            <w:pPr>
              <w:jc w:val="center"/>
              <w:rPr>
                <w:rFonts w:ascii="宋体" w:eastAsia="宋体" w:hAnsi="宋体" w:cs="宋体"/>
                <w:sz w:val="20"/>
                <w:szCs w:val="20"/>
              </w:rPr>
            </w:pPr>
          </w:p>
        </w:tc>
        <w:tc>
          <w:tcPr>
            <w:tcW w:w="10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A959D3"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质量指标</w:t>
            </w:r>
          </w:p>
        </w:tc>
        <w:tc>
          <w:tcPr>
            <w:tcW w:w="39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E7AD7E"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项目验收合格率</w:t>
            </w:r>
          </w:p>
        </w:tc>
        <w:tc>
          <w:tcPr>
            <w:tcW w:w="24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F7C3AB" w14:textId="77777777" w:rsidR="0003378C" w:rsidRPr="00D44DF6" w:rsidRDefault="00DE0433">
            <w:pPr>
              <w:widowControl/>
              <w:jc w:val="center"/>
              <w:textAlignment w:val="center"/>
              <w:rPr>
                <w:rFonts w:ascii="宋体" w:eastAsia="宋体" w:hAnsi="宋体" w:cs="宋体"/>
                <w:sz w:val="24"/>
              </w:rPr>
            </w:pPr>
            <w:r w:rsidRPr="00D44DF6">
              <w:rPr>
                <w:rFonts w:ascii="宋体" w:eastAsia="宋体" w:hAnsi="宋体" w:cs="宋体" w:hint="eastAsia"/>
                <w:kern w:val="0"/>
                <w:sz w:val="24"/>
                <w:lang w:bidi="ar"/>
              </w:rPr>
              <w:t>100%</w:t>
            </w:r>
          </w:p>
        </w:tc>
      </w:tr>
      <w:tr w:rsidR="00D44DF6" w:rsidRPr="00D44DF6" w14:paraId="649EBF7B" w14:textId="77777777">
        <w:trPr>
          <w:trHeight w:val="519"/>
        </w:trPr>
        <w:tc>
          <w:tcPr>
            <w:tcW w:w="5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D1C85A" w14:textId="77777777" w:rsidR="0003378C" w:rsidRPr="00D44DF6" w:rsidRDefault="0003378C">
            <w:pPr>
              <w:jc w:val="center"/>
              <w:rPr>
                <w:rFonts w:ascii="宋体" w:eastAsia="宋体" w:hAnsi="宋体" w:cs="宋体"/>
                <w:sz w:val="20"/>
                <w:szCs w:val="20"/>
              </w:rPr>
            </w:pPr>
          </w:p>
        </w:tc>
        <w:tc>
          <w:tcPr>
            <w:tcW w:w="10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FFF3E6"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时效指标</w:t>
            </w:r>
          </w:p>
        </w:tc>
        <w:tc>
          <w:tcPr>
            <w:tcW w:w="39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3C71CE"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项目准时完工率</w:t>
            </w:r>
          </w:p>
        </w:tc>
        <w:tc>
          <w:tcPr>
            <w:tcW w:w="24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E6CEF7" w14:textId="77777777" w:rsidR="0003378C" w:rsidRPr="00D44DF6" w:rsidRDefault="00DE0433">
            <w:pPr>
              <w:widowControl/>
              <w:jc w:val="center"/>
              <w:textAlignment w:val="center"/>
              <w:rPr>
                <w:rFonts w:ascii="宋体" w:eastAsia="宋体" w:hAnsi="宋体" w:cs="宋体"/>
                <w:sz w:val="24"/>
              </w:rPr>
            </w:pPr>
            <w:r w:rsidRPr="00D44DF6">
              <w:rPr>
                <w:rFonts w:ascii="宋体" w:eastAsia="宋体" w:hAnsi="宋体" w:cs="宋体" w:hint="eastAsia"/>
                <w:kern w:val="0"/>
                <w:sz w:val="24"/>
                <w:lang w:bidi="ar"/>
              </w:rPr>
              <w:t>100%</w:t>
            </w:r>
          </w:p>
        </w:tc>
      </w:tr>
      <w:tr w:rsidR="00D44DF6" w:rsidRPr="00D44DF6" w14:paraId="26E6F94B" w14:textId="77777777">
        <w:trPr>
          <w:trHeight w:val="519"/>
        </w:trPr>
        <w:tc>
          <w:tcPr>
            <w:tcW w:w="5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24C526" w14:textId="77777777" w:rsidR="0003378C" w:rsidRPr="00D44DF6" w:rsidRDefault="0003378C">
            <w:pPr>
              <w:jc w:val="center"/>
              <w:rPr>
                <w:rFonts w:ascii="宋体" w:eastAsia="宋体" w:hAnsi="宋体" w:cs="宋体"/>
                <w:sz w:val="20"/>
                <w:szCs w:val="20"/>
              </w:rPr>
            </w:pPr>
          </w:p>
        </w:tc>
        <w:tc>
          <w:tcPr>
            <w:tcW w:w="103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2AC191F"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成本指标</w:t>
            </w:r>
          </w:p>
        </w:tc>
        <w:tc>
          <w:tcPr>
            <w:tcW w:w="39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4C9DB1"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治理水源工程成本</w:t>
            </w:r>
          </w:p>
        </w:tc>
        <w:tc>
          <w:tcPr>
            <w:tcW w:w="24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4A6A91" w14:textId="77777777" w:rsidR="0003378C" w:rsidRPr="00D44DF6" w:rsidRDefault="00DE0433">
            <w:pPr>
              <w:widowControl/>
              <w:jc w:val="center"/>
              <w:textAlignment w:val="center"/>
              <w:rPr>
                <w:rFonts w:ascii="宋体" w:eastAsia="宋体" w:hAnsi="宋体" w:cs="宋体"/>
                <w:sz w:val="24"/>
              </w:rPr>
            </w:pPr>
            <w:r w:rsidRPr="00D44DF6">
              <w:rPr>
                <w:rFonts w:ascii="宋体" w:eastAsia="宋体" w:hAnsi="宋体" w:cs="宋体" w:hint="eastAsia"/>
                <w:kern w:val="0"/>
                <w:sz w:val="24"/>
                <w:lang w:bidi="ar"/>
              </w:rPr>
              <w:t>≤141万元</w:t>
            </w:r>
          </w:p>
        </w:tc>
      </w:tr>
      <w:tr w:rsidR="00D44DF6" w:rsidRPr="00D44DF6" w14:paraId="1BC2CFB3" w14:textId="77777777">
        <w:trPr>
          <w:trHeight w:val="519"/>
        </w:trPr>
        <w:tc>
          <w:tcPr>
            <w:tcW w:w="5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F68A11" w14:textId="77777777" w:rsidR="0003378C" w:rsidRPr="00D44DF6" w:rsidRDefault="0003378C">
            <w:pPr>
              <w:jc w:val="center"/>
              <w:rPr>
                <w:rFonts w:ascii="宋体" w:eastAsia="宋体" w:hAnsi="宋体" w:cs="宋体"/>
                <w:sz w:val="20"/>
                <w:szCs w:val="20"/>
              </w:rPr>
            </w:pPr>
          </w:p>
        </w:tc>
        <w:tc>
          <w:tcPr>
            <w:tcW w:w="103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1B5D28" w14:textId="77777777" w:rsidR="0003378C" w:rsidRPr="00D44DF6" w:rsidRDefault="0003378C">
            <w:pPr>
              <w:jc w:val="center"/>
              <w:rPr>
                <w:rFonts w:ascii="宋体" w:eastAsia="宋体" w:hAnsi="宋体" w:cs="宋体"/>
                <w:sz w:val="20"/>
                <w:szCs w:val="20"/>
              </w:rPr>
            </w:pPr>
          </w:p>
        </w:tc>
        <w:tc>
          <w:tcPr>
            <w:tcW w:w="39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D19D19"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治理节水灌溉工程成本</w:t>
            </w:r>
          </w:p>
        </w:tc>
        <w:tc>
          <w:tcPr>
            <w:tcW w:w="24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84B28E" w14:textId="77777777" w:rsidR="0003378C" w:rsidRPr="00D44DF6" w:rsidRDefault="00DE0433">
            <w:pPr>
              <w:widowControl/>
              <w:jc w:val="center"/>
              <w:textAlignment w:val="center"/>
              <w:rPr>
                <w:rFonts w:ascii="宋体" w:eastAsia="宋体" w:hAnsi="宋体" w:cs="宋体"/>
                <w:sz w:val="24"/>
              </w:rPr>
            </w:pPr>
            <w:r w:rsidRPr="00D44DF6">
              <w:rPr>
                <w:rFonts w:ascii="宋体" w:eastAsia="宋体" w:hAnsi="宋体" w:cs="宋体" w:hint="eastAsia"/>
                <w:kern w:val="0"/>
                <w:sz w:val="24"/>
                <w:lang w:bidi="ar"/>
              </w:rPr>
              <w:t>≤329万元</w:t>
            </w:r>
          </w:p>
        </w:tc>
      </w:tr>
      <w:tr w:rsidR="00D44DF6" w:rsidRPr="00D44DF6" w14:paraId="2DF13A95" w14:textId="77777777">
        <w:trPr>
          <w:trHeight w:val="519"/>
        </w:trPr>
        <w:tc>
          <w:tcPr>
            <w:tcW w:w="5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A6BEE7" w14:textId="77777777" w:rsidR="0003378C" w:rsidRPr="00D44DF6" w:rsidRDefault="0003378C">
            <w:pPr>
              <w:jc w:val="center"/>
              <w:rPr>
                <w:rFonts w:ascii="宋体" w:eastAsia="宋体" w:hAnsi="宋体" w:cs="宋体"/>
                <w:sz w:val="20"/>
                <w:szCs w:val="20"/>
              </w:rPr>
            </w:pPr>
          </w:p>
        </w:tc>
        <w:tc>
          <w:tcPr>
            <w:tcW w:w="103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F65239" w14:textId="77777777" w:rsidR="0003378C" w:rsidRPr="00D44DF6" w:rsidRDefault="0003378C">
            <w:pPr>
              <w:jc w:val="center"/>
              <w:rPr>
                <w:rFonts w:ascii="宋体" w:eastAsia="宋体" w:hAnsi="宋体" w:cs="宋体"/>
                <w:sz w:val="20"/>
                <w:szCs w:val="20"/>
              </w:rPr>
            </w:pPr>
          </w:p>
        </w:tc>
        <w:tc>
          <w:tcPr>
            <w:tcW w:w="39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BD384A"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二类费</w:t>
            </w:r>
          </w:p>
        </w:tc>
        <w:tc>
          <w:tcPr>
            <w:tcW w:w="24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2531B9" w14:textId="77777777" w:rsidR="0003378C" w:rsidRPr="00D44DF6" w:rsidRDefault="00DE0433">
            <w:pPr>
              <w:widowControl/>
              <w:jc w:val="center"/>
              <w:textAlignment w:val="center"/>
              <w:rPr>
                <w:rFonts w:ascii="宋体" w:eastAsia="宋体" w:hAnsi="宋体" w:cs="宋体"/>
                <w:sz w:val="24"/>
              </w:rPr>
            </w:pPr>
            <w:r w:rsidRPr="00D44DF6">
              <w:rPr>
                <w:rFonts w:ascii="宋体" w:eastAsia="宋体" w:hAnsi="宋体" w:cs="宋体" w:hint="eastAsia"/>
                <w:kern w:val="0"/>
                <w:sz w:val="24"/>
                <w:lang w:bidi="ar"/>
              </w:rPr>
              <w:t>≤157.42万元</w:t>
            </w:r>
          </w:p>
        </w:tc>
      </w:tr>
      <w:tr w:rsidR="00D44DF6" w:rsidRPr="00D44DF6" w14:paraId="0E0429D4" w14:textId="77777777">
        <w:trPr>
          <w:trHeight w:val="519"/>
        </w:trPr>
        <w:tc>
          <w:tcPr>
            <w:tcW w:w="56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A613EB3"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效益指标</w:t>
            </w:r>
          </w:p>
        </w:tc>
        <w:tc>
          <w:tcPr>
            <w:tcW w:w="10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AF0F5A"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生态效益指标</w:t>
            </w:r>
          </w:p>
        </w:tc>
        <w:tc>
          <w:tcPr>
            <w:tcW w:w="39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ECBDA0"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改善生态环境</w:t>
            </w:r>
          </w:p>
        </w:tc>
        <w:tc>
          <w:tcPr>
            <w:tcW w:w="24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335301" w14:textId="77777777" w:rsidR="0003378C" w:rsidRPr="00D44DF6" w:rsidRDefault="00DE0433">
            <w:pPr>
              <w:widowControl/>
              <w:jc w:val="center"/>
              <w:textAlignment w:val="center"/>
              <w:rPr>
                <w:rFonts w:ascii="宋体" w:eastAsia="宋体" w:hAnsi="宋体" w:cs="宋体"/>
                <w:sz w:val="24"/>
              </w:rPr>
            </w:pPr>
            <w:r w:rsidRPr="00D44DF6">
              <w:rPr>
                <w:rFonts w:ascii="宋体" w:eastAsia="宋体" w:hAnsi="宋体" w:cs="宋体" w:hint="eastAsia"/>
                <w:kern w:val="0"/>
                <w:sz w:val="24"/>
                <w:lang w:bidi="ar"/>
              </w:rPr>
              <w:t>有效改善</w:t>
            </w:r>
          </w:p>
        </w:tc>
      </w:tr>
      <w:tr w:rsidR="00D44DF6" w:rsidRPr="00D44DF6" w14:paraId="235195DF" w14:textId="77777777">
        <w:trPr>
          <w:trHeight w:val="519"/>
        </w:trPr>
        <w:tc>
          <w:tcPr>
            <w:tcW w:w="5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C56309" w14:textId="77777777" w:rsidR="0003378C" w:rsidRPr="00D44DF6" w:rsidRDefault="0003378C">
            <w:pPr>
              <w:jc w:val="center"/>
              <w:rPr>
                <w:rFonts w:ascii="宋体" w:eastAsia="宋体" w:hAnsi="宋体" w:cs="宋体"/>
                <w:sz w:val="20"/>
                <w:szCs w:val="20"/>
              </w:rPr>
            </w:pPr>
          </w:p>
        </w:tc>
        <w:tc>
          <w:tcPr>
            <w:tcW w:w="10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7532E0"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可持续影响指标</w:t>
            </w:r>
          </w:p>
        </w:tc>
        <w:tc>
          <w:tcPr>
            <w:tcW w:w="39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2D96B7"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节水、治理水土流失，达到保护环境的目的</w:t>
            </w:r>
          </w:p>
        </w:tc>
        <w:tc>
          <w:tcPr>
            <w:tcW w:w="24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FBAE12" w14:textId="77777777" w:rsidR="0003378C" w:rsidRPr="00D44DF6" w:rsidRDefault="00DE0433">
            <w:pPr>
              <w:widowControl/>
              <w:jc w:val="center"/>
              <w:textAlignment w:val="center"/>
              <w:rPr>
                <w:rFonts w:ascii="宋体" w:eastAsia="宋体" w:hAnsi="宋体" w:cs="宋体"/>
                <w:sz w:val="24"/>
              </w:rPr>
            </w:pPr>
            <w:r w:rsidRPr="00D44DF6">
              <w:rPr>
                <w:rFonts w:ascii="宋体" w:eastAsia="宋体" w:hAnsi="宋体" w:cs="宋体" w:hint="eastAsia"/>
                <w:kern w:val="0"/>
                <w:sz w:val="24"/>
                <w:lang w:bidi="ar"/>
              </w:rPr>
              <w:t>有效改善</w:t>
            </w:r>
          </w:p>
        </w:tc>
      </w:tr>
      <w:tr w:rsidR="0003378C" w:rsidRPr="00D44DF6" w14:paraId="5C78A61F" w14:textId="77777777">
        <w:trPr>
          <w:trHeight w:val="1155"/>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EF61BC"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满意度指标</w:t>
            </w:r>
          </w:p>
        </w:tc>
        <w:tc>
          <w:tcPr>
            <w:tcW w:w="10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8514FA"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服务对象</w:t>
            </w:r>
            <w:r w:rsidRPr="00D44DF6">
              <w:rPr>
                <w:rFonts w:ascii="宋体" w:eastAsia="宋体" w:hAnsi="宋体" w:cs="宋体" w:hint="eastAsia"/>
                <w:kern w:val="0"/>
                <w:sz w:val="20"/>
                <w:szCs w:val="20"/>
                <w:lang w:bidi="ar"/>
              </w:rPr>
              <w:br/>
              <w:t>满意度指标</w:t>
            </w:r>
          </w:p>
        </w:tc>
        <w:tc>
          <w:tcPr>
            <w:tcW w:w="39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82B70E" w14:textId="77777777" w:rsidR="0003378C" w:rsidRPr="00D44DF6" w:rsidRDefault="00DE0433">
            <w:pPr>
              <w:widowControl/>
              <w:jc w:val="center"/>
              <w:textAlignment w:val="center"/>
              <w:rPr>
                <w:rFonts w:ascii="宋体" w:eastAsia="宋体" w:hAnsi="宋体" w:cs="宋体"/>
                <w:sz w:val="20"/>
                <w:szCs w:val="20"/>
              </w:rPr>
            </w:pPr>
            <w:r w:rsidRPr="00D44DF6">
              <w:rPr>
                <w:rFonts w:ascii="宋体" w:eastAsia="宋体" w:hAnsi="宋体" w:cs="宋体" w:hint="eastAsia"/>
                <w:kern w:val="0"/>
                <w:sz w:val="20"/>
                <w:szCs w:val="20"/>
                <w:lang w:bidi="ar"/>
              </w:rPr>
              <w:t>使用人员满意度</w:t>
            </w:r>
          </w:p>
        </w:tc>
        <w:tc>
          <w:tcPr>
            <w:tcW w:w="24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B54DDC" w14:textId="77777777" w:rsidR="0003378C" w:rsidRPr="00D44DF6" w:rsidRDefault="00DE0433">
            <w:pPr>
              <w:widowControl/>
              <w:jc w:val="center"/>
              <w:textAlignment w:val="center"/>
              <w:rPr>
                <w:rFonts w:ascii="宋体" w:eastAsia="宋体" w:hAnsi="宋体" w:cs="宋体"/>
                <w:sz w:val="24"/>
              </w:rPr>
            </w:pPr>
            <w:r w:rsidRPr="00D44DF6">
              <w:rPr>
                <w:rFonts w:ascii="宋体" w:eastAsia="宋体" w:hAnsi="宋体" w:cs="宋体" w:hint="eastAsia"/>
                <w:kern w:val="0"/>
                <w:sz w:val="24"/>
                <w:lang w:bidi="ar"/>
              </w:rPr>
              <w:t>≥90%</w:t>
            </w:r>
          </w:p>
        </w:tc>
      </w:tr>
    </w:tbl>
    <w:p w14:paraId="1B89D742" w14:textId="77777777" w:rsidR="0003378C" w:rsidRPr="00D44DF6" w:rsidRDefault="0003378C">
      <w:pPr>
        <w:pStyle w:val="af"/>
        <w:adjustRightInd w:val="0"/>
        <w:snapToGrid w:val="0"/>
        <w:spacing w:line="360" w:lineRule="auto"/>
        <w:ind w:firstLine="640"/>
        <w:rPr>
          <w:rFonts w:ascii="仿宋" w:eastAsia="仿宋" w:hAnsi="仿宋"/>
          <w:sz w:val="32"/>
          <w:szCs w:val="32"/>
        </w:rPr>
      </w:pPr>
    </w:p>
    <w:p w14:paraId="1213AEA2"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lastRenderedPageBreak/>
        <w:t>截止2021年12月，该项目到位资金121万元，并支付预算评估费用9787元。</w:t>
      </w:r>
    </w:p>
    <w:p w14:paraId="181F4469" w14:textId="77777777" w:rsidR="0003378C" w:rsidRPr="00D44DF6" w:rsidRDefault="00DE0433">
      <w:pPr>
        <w:ind w:firstLineChars="200" w:firstLine="643"/>
        <w:rPr>
          <w:rFonts w:ascii="仿宋" w:eastAsia="仿宋" w:hAnsi="仿宋"/>
          <w:b/>
          <w:bCs/>
          <w:sz w:val="32"/>
          <w:szCs w:val="32"/>
        </w:rPr>
      </w:pPr>
      <w:r w:rsidRPr="00D44DF6">
        <w:rPr>
          <w:rFonts w:ascii="仿宋" w:eastAsia="仿宋" w:hAnsi="仿宋" w:hint="eastAsia"/>
          <w:b/>
          <w:bCs/>
          <w:sz w:val="32"/>
          <w:szCs w:val="32"/>
        </w:rPr>
        <w:t>二、绩效目标完成情况分析</w:t>
      </w:r>
    </w:p>
    <w:p w14:paraId="02903588" w14:textId="77777777" w:rsidR="0003378C" w:rsidRPr="00D44DF6" w:rsidRDefault="00DE0433">
      <w:pPr>
        <w:ind w:firstLineChars="200" w:firstLine="643"/>
        <w:rPr>
          <w:rFonts w:ascii="仿宋" w:eastAsia="仿宋" w:hAnsi="仿宋"/>
          <w:b/>
          <w:bCs/>
          <w:sz w:val="32"/>
          <w:szCs w:val="32"/>
        </w:rPr>
      </w:pPr>
      <w:r w:rsidRPr="00D44DF6">
        <w:rPr>
          <w:rFonts w:ascii="仿宋" w:eastAsia="仿宋" w:hAnsi="仿宋" w:hint="eastAsia"/>
          <w:b/>
          <w:bCs/>
          <w:sz w:val="32"/>
          <w:szCs w:val="32"/>
        </w:rPr>
        <w:t>2.1资金投入情况分析</w:t>
      </w:r>
    </w:p>
    <w:p w14:paraId="71625D86"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（1）项目资金安排落实、总投入等情况分析</w:t>
      </w:r>
    </w:p>
    <w:p w14:paraId="65AAC395"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本项目预算总额为627.42万元。截止2021年12月，该项目到位资金121万元，为一般债券资金。截止2021年12月31日共计支付预算评估费用9787元。</w:t>
      </w:r>
    </w:p>
    <w:p w14:paraId="631E1D3E"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2021年10月9日，天津水务局以津水</w:t>
      </w:r>
      <w:proofErr w:type="gramStart"/>
      <w:r w:rsidRPr="00D44DF6">
        <w:rPr>
          <w:rFonts w:ascii="仿宋" w:eastAsia="仿宋" w:hAnsi="仿宋" w:hint="eastAsia"/>
          <w:sz w:val="32"/>
          <w:szCs w:val="32"/>
        </w:rPr>
        <w:t>规</w:t>
      </w:r>
      <w:proofErr w:type="gramEnd"/>
      <w:r w:rsidRPr="00D44DF6">
        <w:rPr>
          <w:rFonts w:ascii="仿宋" w:eastAsia="仿宋" w:hAnsi="仿宋" w:hint="eastAsia"/>
          <w:sz w:val="32"/>
          <w:szCs w:val="32"/>
        </w:rPr>
        <w:t>计【2021】62号文，下达关于调整京津风沙</w:t>
      </w:r>
      <w:proofErr w:type="gramStart"/>
      <w:r w:rsidRPr="00D44DF6">
        <w:rPr>
          <w:rFonts w:ascii="仿宋" w:eastAsia="仿宋" w:hAnsi="仿宋" w:hint="eastAsia"/>
          <w:sz w:val="32"/>
          <w:szCs w:val="32"/>
        </w:rPr>
        <w:t>源治理</w:t>
      </w:r>
      <w:proofErr w:type="gramEnd"/>
      <w:r w:rsidRPr="00D44DF6">
        <w:rPr>
          <w:rFonts w:ascii="仿宋" w:eastAsia="仿宋" w:hAnsi="仿宋" w:hint="eastAsia"/>
          <w:sz w:val="32"/>
          <w:szCs w:val="32"/>
        </w:rPr>
        <w:t>二期工程2021年度水利部分项目投资计划的通知，批复宝坻区水利项目总投资627.42万元，其中中央预算内资金360万，一般债券资金121万元，区自筹资金146.42万元。</w:t>
      </w:r>
    </w:p>
    <w:p w14:paraId="1554C5DE" w14:textId="77777777" w:rsidR="0003378C" w:rsidRPr="00D44DF6" w:rsidRDefault="00DE0433">
      <w:pPr>
        <w:ind w:firstLineChars="200" w:firstLine="640"/>
      </w:pPr>
      <w:r w:rsidRPr="00D44DF6">
        <w:rPr>
          <w:rFonts w:ascii="仿宋" w:eastAsia="仿宋" w:hAnsi="仿宋" w:hint="eastAsia"/>
          <w:sz w:val="32"/>
          <w:szCs w:val="32"/>
        </w:rPr>
        <w:t>本项目预算总额为627.42万元。截止2021年12月，该项目到位资金121万元，为一般债券资金。资金到位率19.3%。中央资金及区级配套资金均未到位。</w:t>
      </w:r>
    </w:p>
    <w:p w14:paraId="7037902A" w14:textId="77777777" w:rsidR="0003378C" w:rsidRPr="00D44DF6" w:rsidRDefault="00DE0433">
      <w:pPr>
        <w:pStyle w:val="af"/>
        <w:adjustRightInd w:val="0"/>
        <w:snapToGrid w:val="0"/>
        <w:spacing w:line="360" w:lineRule="auto"/>
        <w:ind w:firstLine="640"/>
        <w:rPr>
          <w:rFonts w:ascii="仿宋" w:eastAsia="仿宋" w:hAnsi="仿宋"/>
          <w:sz w:val="32"/>
          <w:szCs w:val="32"/>
        </w:rPr>
      </w:pPr>
      <w:r w:rsidRPr="00D44DF6">
        <w:rPr>
          <w:rFonts w:ascii="仿宋" w:eastAsia="仿宋" w:hAnsi="仿宋" w:hint="eastAsia"/>
          <w:sz w:val="32"/>
          <w:szCs w:val="32"/>
        </w:rPr>
        <w:t>（2）项目资金实际使用情况分析</w:t>
      </w:r>
    </w:p>
    <w:p w14:paraId="1EA29624"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截止2021年12月，该项目到位资金121万元，为一般债券资金。截止2021年12月31日共计支付预算评估费用9787元。</w:t>
      </w:r>
    </w:p>
    <w:p w14:paraId="5E66B8B8" w14:textId="77777777" w:rsidR="0003378C" w:rsidRPr="00D44DF6" w:rsidRDefault="00DE0433">
      <w:pPr>
        <w:ind w:firstLineChars="200" w:firstLine="643"/>
        <w:rPr>
          <w:rFonts w:ascii="仿宋" w:eastAsia="仿宋" w:hAnsi="仿宋"/>
          <w:b/>
          <w:bCs/>
          <w:sz w:val="32"/>
          <w:szCs w:val="32"/>
        </w:rPr>
      </w:pPr>
      <w:r w:rsidRPr="00D44DF6">
        <w:rPr>
          <w:rFonts w:ascii="仿宋" w:eastAsia="仿宋" w:hAnsi="仿宋" w:hint="eastAsia"/>
          <w:b/>
          <w:bCs/>
          <w:sz w:val="32"/>
          <w:szCs w:val="32"/>
        </w:rPr>
        <w:t>2.2总体绩效目标完成情况分析</w:t>
      </w:r>
    </w:p>
    <w:p w14:paraId="25C95C49"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工程计划建设内容：（1）水源工程60处（折合）。扬</w:t>
      </w:r>
      <w:r w:rsidRPr="00D44DF6">
        <w:rPr>
          <w:rFonts w:ascii="仿宋" w:eastAsia="仿宋" w:hAnsi="仿宋" w:hint="eastAsia"/>
          <w:sz w:val="32"/>
          <w:szCs w:val="32"/>
        </w:rPr>
        <w:lastRenderedPageBreak/>
        <w:t xml:space="preserve">水点12座。（2）节水灌溉工程60处（即输水管道工程）。塑料管道60处，浇灌控制面积不小于2700亩。本次水土流失治理面积共计180公顷。 </w:t>
      </w:r>
    </w:p>
    <w:p w14:paraId="38E63682"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依据工程设计文件，按计划完成工程建设任务：（1）水源工程60处（折合）。扬水点12座。（2）节水灌溉工程60处（即输水管道工程）。塑料管道60处，浇灌控制面积不小于2700亩。本次水土流失治理面积共计180公顷。</w:t>
      </w:r>
    </w:p>
    <w:p w14:paraId="72C5F8D5" w14:textId="77777777" w:rsidR="0003378C" w:rsidRPr="00D44DF6" w:rsidRDefault="00DE0433">
      <w:pPr>
        <w:pStyle w:val="2"/>
        <w:ind w:leftChars="0" w:left="0" w:firstLine="640"/>
        <w:rPr>
          <w:rFonts w:eastAsia="仿宋"/>
        </w:rPr>
      </w:pPr>
      <w:r w:rsidRPr="00D44DF6">
        <w:rPr>
          <w:rFonts w:ascii="仿宋" w:eastAsia="仿宋" w:hAnsi="仿宋" w:hint="eastAsia"/>
          <w:sz w:val="32"/>
          <w:szCs w:val="32"/>
        </w:rPr>
        <w:t>截止2021年12月31日，该项目已全部实施完毕。达到预期效果。</w:t>
      </w:r>
    </w:p>
    <w:p w14:paraId="2FE7FAE4" w14:textId="77777777" w:rsidR="0003378C" w:rsidRPr="00D44DF6" w:rsidRDefault="00DE0433">
      <w:pPr>
        <w:ind w:firstLineChars="200" w:firstLine="643"/>
        <w:rPr>
          <w:rFonts w:ascii="仿宋" w:eastAsia="仿宋" w:hAnsi="仿宋"/>
          <w:b/>
          <w:bCs/>
          <w:sz w:val="32"/>
          <w:szCs w:val="32"/>
        </w:rPr>
      </w:pPr>
      <w:r w:rsidRPr="00D44DF6">
        <w:rPr>
          <w:rFonts w:ascii="仿宋" w:eastAsia="仿宋" w:hAnsi="仿宋" w:hint="eastAsia"/>
          <w:b/>
          <w:bCs/>
          <w:sz w:val="32"/>
          <w:szCs w:val="32"/>
        </w:rPr>
        <w:t>2.3绩效指标完成情况分析</w:t>
      </w:r>
    </w:p>
    <w:p w14:paraId="7190CBE0"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（一）目标任务量完成情况。</w:t>
      </w:r>
    </w:p>
    <w:p w14:paraId="5AEA426A"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依据工程设计文件，按计划完成建设内容：水源工程60处（折合），节水灌溉工程60处。已全部完成。</w:t>
      </w:r>
    </w:p>
    <w:p w14:paraId="6802C807"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（二）目标质量完成情况。</w:t>
      </w:r>
    </w:p>
    <w:p w14:paraId="4DC0A77C"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质量指标，项目验收合格率为100%。实际完成值为合格率100%；</w:t>
      </w:r>
    </w:p>
    <w:p w14:paraId="72E60BF2"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（三）目标进度完成情况。</w:t>
      </w:r>
    </w:p>
    <w:p w14:paraId="7E654330"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时效指标目标为项目准时</w:t>
      </w:r>
      <w:r w:rsidRPr="00D44DF6">
        <w:rPr>
          <w:rFonts w:ascii="仿宋" w:eastAsia="仿宋" w:hAnsi="仿宋" w:hint="eastAsia"/>
          <w:b/>
          <w:bCs/>
          <w:sz w:val="32"/>
          <w:szCs w:val="32"/>
        </w:rPr>
        <w:t>完工</w:t>
      </w:r>
      <w:r w:rsidRPr="00D44DF6">
        <w:rPr>
          <w:rFonts w:ascii="仿宋" w:eastAsia="仿宋" w:hAnsi="仿宋" w:hint="eastAsia"/>
          <w:sz w:val="32"/>
          <w:szCs w:val="32"/>
        </w:rPr>
        <w:t>率100%。截止2021年12月，完成建设任务100%；截至2021年12月，项目资金完成率100%。</w:t>
      </w:r>
    </w:p>
    <w:p w14:paraId="0DCF8772" w14:textId="700B7FF1"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（四）成本指标：治理水源工程成本141万元，治理节水灌溉工程成本329万元，二类费157.42万元。属于工程</w:t>
      </w:r>
      <w:r w:rsidRPr="00D44DF6">
        <w:rPr>
          <w:rFonts w:ascii="仿宋" w:eastAsia="仿宋" w:hAnsi="仿宋" w:hint="eastAsia"/>
          <w:sz w:val="32"/>
          <w:szCs w:val="32"/>
        </w:rPr>
        <w:lastRenderedPageBreak/>
        <w:t>项目支出控制范围内。</w:t>
      </w:r>
    </w:p>
    <w:p w14:paraId="27A02B43" w14:textId="77777777" w:rsidR="0003378C" w:rsidRPr="00D44DF6" w:rsidRDefault="00DE0433">
      <w:pPr>
        <w:adjustRightInd w:val="0"/>
        <w:snapToGrid w:val="0"/>
        <w:spacing w:line="360" w:lineRule="auto"/>
        <w:ind w:firstLineChars="200" w:firstLine="640"/>
        <w:rPr>
          <w:rFonts w:ascii="仿宋" w:eastAsia="仿宋" w:hAnsi="仿宋"/>
          <w:sz w:val="32"/>
          <w:szCs w:val="32"/>
        </w:rPr>
      </w:pPr>
      <w:r w:rsidRPr="00D44DF6">
        <w:rPr>
          <w:rFonts w:ascii="仿宋" w:eastAsia="仿宋" w:hAnsi="仿宋" w:hint="eastAsia"/>
          <w:sz w:val="32"/>
          <w:szCs w:val="32"/>
        </w:rPr>
        <w:t>（五）生态效益指标：工程实施后，减少对河渠的泥沙淤积，保护水源水质，其建立的绿色生态屏障，起到了抵御生态灾害、维护生态安全的战略举措。有效的改善了生态环境。</w:t>
      </w:r>
    </w:p>
    <w:p w14:paraId="46A86D99" w14:textId="77777777" w:rsidR="0003378C" w:rsidRPr="00D44DF6" w:rsidRDefault="00DE0433">
      <w:pPr>
        <w:adjustRightInd w:val="0"/>
        <w:snapToGrid w:val="0"/>
        <w:spacing w:line="360" w:lineRule="auto"/>
        <w:ind w:firstLineChars="200" w:firstLine="640"/>
        <w:rPr>
          <w:rFonts w:eastAsia="仿宋"/>
        </w:rPr>
      </w:pPr>
      <w:r w:rsidRPr="00D44DF6">
        <w:rPr>
          <w:rFonts w:ascii="仿宋" w:eastAsia="仿宋" w:hAnsi="仿宋" w:hint="eastAsia"/>
          <w:sz w:val="32"/>
          <w:szCs w:val="32"/>
        </w:rPr>
        <w:t>（六）可持续影响指标：工程建成后地块内的林木成活并迅速成长，增加地面植被覆盖，可有效控制就地起沙，有效改善居民居住环境质量。达到了节水、治理水土流失，保护环境的目的。</w:t>
      </w:r>
    </w:p>
    <w:p w14:paraId="468172A1"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（三）满意度指标完成情况分析。</w:t>
      </w:r>
    </w:p>
    <w:p w14:paraId="6F17617A"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服务对象</w:t>
      </w:r>
      <w:r w:rsidRPr="00D44DF6">
        <w:rPr>
          <w:rFonts w:ascii="仿宋" w:eastAsia="仿宋" w:hAnsi="仿宋"/>
          <w:sz w:val="32"/>
          <w:szCs w:val="32"/>
        </w:rPr>
        <w:t>满意度9</w:t>
      </w:r>
      <w:r w:rsidRPr="00D44DF6">
        <w:rPr>
          <w:rFonts w:ascii="仿宋" w:eastAsia="仿宋" w:hAnsi="仿宋" w:hint="eastAsia"/>
          <w:sz w:val="32"/>
          <w:szCs w:val="32"/>
        </w:rPr>
        <w:t>4%。</w:t>
      </w:r>
    </w:p>
    <w:p w14:paraId="6F038119"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（四）偏离绩效目标的原因和下一步改进措施</w:t>
      </w:r>
    </w:p>
    <w:p w14:paraId="747C9EFB" w14:textId="52C1906E" w:rsidR="0003378C" w:rsidRPr="00D44DF6" w:rsidRDefault="00DE0433">
      <w:pPr>
        <w:ind w:firstLineChars="200" w:firstLine="640"/>
        <w:rPr>
          <w:rFonts w:ascii="宋体" w:hAnsi="宋体" w:cs="宋体"/>
          <w:sz w:val="30"/>
          <w:szCs w:val="30"/>
        </w:rPr>
      </w:pPr>
      <w:r w:rsidRPr="00D44DF6">
        <w:rPr>
          <w:rFonts w:ascii="仿宋" w:eastAsia="仿宋" w:hAnsi="仿宋" w:hint="eastAsia"/>
          <w:sz w:val="32"/>
          <w:szCs w:val="32"/>
        </w:rPr>
        <w:t>宝坻区项目资金执行率未达到100%。区财政累计拨付资金121万元，资金到位率19.3%。按照生产建设项目资金拨付程序，截止2021年12月，已支付资金0.98万元，为预算评估费。执行率0.</w:t>
      </w:r>
      <w:r w:rsidR="00446119" w:rsidRPr="00D44DF6">
        <w:rPr>
          <w:rFonts w:ascii="仿宋" w:eastAsia="仿宋" w:hAnsi="仿宋"/>
          <w:sz w:val="32"/>
          <w:szCs w:val="32"/>
        </w:rPr>
        <w:t>39</w:t>
      </w:r>
      <w:r w:rsidRPr="00D44DF6">
        <w:rPr>
          <w:rFonts w:ascii="仿宋" w:eastAsia="仿宋" w:hAnsi="仿宋" w:hint="eastAsia"/>
          <w:sz w:val="32"/>
          <w:szCs w:val="32"/>
        </w:rPr>
        <w:t>%。由于资金到账与支付均相对滞后，今后加强资金管理，加快资金支付进度</w:t>
      </w:r>
      <w:r w:rsidRPr="00D44DF6">
        <w:rPr>
          <w:rFonts w:ascii="宋体" w:hAnsi="宋体" w:cs="宋体" w:hint="eastAsia"/>
          <w:sz w:val="30"/>
          <w:szCs w:val="30"/>
        </w:rPr>
        <w:t>。</w:t>
      </w:r>
    </w:p>
    <w:p w14:paraId="6BEBE99C"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（五）绩效自评结果拟应用和公开情况</w:t>
      </w:r>
    </w:p>
    <w:p w14:paraId="546DEB33"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1.绩效自评结果应用</w:t>
      </w:r>
      <w:bookmarkStart w:id="0" w:name="_GoBack"/>
      <w:bookmarkEnd w:id="0"/>
    </w:p>
    <w:p w14:paraId="17E4E22A"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绩效评价结果应用，既是开展绩效评价工作的基本前提，又是加强财政支出管理、增强资金绩效理念、合理配置公共资源、优化财政支出结构、强化资金管理水平、提高资金使</w:t>
      </w:r>
      <w:r w:rsidRPr="00D44DF6">
        <w:rPr>
          <w:rFonts w:ascii="仿宋" w:eastAsia="仿宋" w:hAnsi="仿宋" w:hint="eastAsia"/>
          <w:sz w:val="32"/>
          <w:szCs w:val="32"/>
        </w:rPr>
        <w:lastRenderedPageBreak/>
        <w:t>用效益的重要手段。为使绩效评价结果得到合理应用，应将此次绩效评价结果作为以后年度建设资金分配的重要依据。</w:t>
      </w:r>
    </w:p>
    <w:p w14:paraId="42C5288B"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通过项目绩效目标的设置情况、资金使用情况、项目实施管理情况、项目绩效表现情况自我评价，了解资金使用是否达到了预期目标、资金管理是否规范、资金使用是否有效，检验资金支出效率和效果、分析存在问题及原因，及时总结经验，改进管理措施。</w:t>
      </w:r>
    </w:p>
    <w:p w14:paraId="20B13AAF"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不断增强和落实绩效管理责任，完善工作机制，有效提高资金管理水平和使用效益。</w:t>
      </w:r>
    </w:p>
    <w:p w14:paraId="4A250B6A"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2.绩效自评结果公开</w:t>
      </w:r>
    </w:p>
    <w:p w14:paraId="0A33B20F"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绩效自评结果将在宝坻区政府网上公开发布。</w:t>
      </w:r>
    </w:p>
    <w:p w14:paraId="7C42A709" w14:textId="77777777" w:rsidR="0003378C" w:rsidRPr="00D44DF6" w:rsidRDefault="00DE0433">
      <w:pPr>
        <w:ind w:firstLineChars="200" w:firstLine="643"/>
        <w:rPr>
          <w:rFonts w:ascii="仿宋" w:eastAsia="仿宋" w:hAnsi="仿宋"/>
          <w:b/>
          <w:bCs/>
          <w:sz w:val="32"/>
          <w:szCs w:val="32"/>
        </w:rPr>
      </w:pPr>
      <w:r w:rsidRPr="00D44DF6">
        <w:rPr>
          <w:rFonts w:ascii="仿宋" w:eastAsia="仿宋" w:hAnsi="仿宋" w:hint="eastAsia"/>
          <w:b/>
          <w:bCs/>
          <w:sz w:val="32"/>
          <w:szCs w:val="32"/>
        </w:rPr>
        <w:t>五、其他需要说明的问题</w:t>
      </w:r>
    </w:p>
    <w:p w14:paraId="240F1050"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无。</w:t>
      </w:r>
    </w:p>
    <w:p w14:paraId="70F19345" w14:textId="77777777" w:rsidR="0003378C" w:rsidRPr="00D44DF6" w:rsidRDefault="0003378C">
      <w:pPr>
        <w:ind w:firstLineChars="200" w:firstLine="640"/>
        <w:rPr>
          <w:rFonts w:ascii="仿宋" w:eastAsia="仿宋" w:hAnsi="仿宋"/>
          <w:sz w:val="32"/>
          <w:szCs w:val="32"/>
        </w:rPr>
      </w:pPr>
    </w:p>
    <w:p w14:paraId="7EAB9F78"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附：转移支付区域（项目）绩效目标自评表</w:t>
      </w:r>
    </w:p>
    <w:p w14:paraId="1911C3E5" w14:textId="77777777" w:rsidR="0003378C" w:rsidRPr="00D44DF6" w:rsidRDefault="00DE0433">
      <w:pPr>
        <w:ind w:firstLineChars="200" w:firstLine="640"/>
        <w:rPr>
          <w:rFonts w:ascii="仿宋" w:eastAsia="仿宋" w:hAnsi="仿宋"/>
          <w:sz w:val="32"/>
          <w:szCs w:val="32"/>
        </w:rPr>
      </w:pPr>
      <w:r w:rsidRPr="00D44DF6">
        <w:rPr>
          <w:rFonts w:ascii="仿宋" w:eastAsia="仿宋" w:hAnsi="仿宋" w:hint="eastAsia"/>
          <w:sz w:val="32"/>
          <w:szCs w:val="32"/>
        </w:rPr>
        <w:t xml:space="preserve">                                 2022年6月20日</w:t>
      </w:r>
    </w:p>
    <w:p w14:paraId="5994E110" w14:textId="77777777" w:rsidR="0003378C" w:rsidRPr="00D44DF6" w:rsidRDefault="0003378C">
      <w:pPr>
        <w:pStyle w:val="TOC2"/>
        <w:ind w:left="601"/>
        <w:rPr>
          <w:rFonts w:eastAsia="仿宋"/>
        </w:rPr>
      </w:pPr>
    </w:p>
    <w:p w14:paraId="3F8AF77B" w14:textId="77777777" w:rsidR="0003378C" w:rsidRPr="00D44DF6" w:rsidRDefault="0003378C"/>
    <w:sectPr w:rsidR="0003378C" w:rsidRPr="00D44DF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7FAF11" w14:textId="77777777" w:rsidR="00DE0433" w:rsidRDefault="00DE0433" w:rsidP="00446119">
      <w:r>
        <w:separator/>
      </w:r>
    </w:p>
  </w:endnote>
  <w:endnote w:type="continuationSeparator" w:id="0">
    <w:p w14:paraId="695DDAC8" w14:textId="77777777" w:rsidR="00DE0433" w:rsidRDefault="00DE0433" w:rsidP="004461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DFD82A" w14:textId="77777777" w:rsidR="00DE0433" w:rsidRDefault="00DE0433" w:rsidP="00446119">
      <w:r>
        <w:separator/>
      </w:r>
    </w:p>
  </w:footnote>
  <w:footnote w:type="continuationSeparator" w:id="0">
    <w:p w14:paraId="490E9EFC" w14:textId="77777777" w:rsidR="00DE0433" w:rsidRDefault="00DE0433" w:rsidP="004461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jBjMWY5NDM2YzM2YzY5NjQwNTI5MWExZmQ5MWY4MTgifQ=="/>
  </w:docVars>
  <w:rsids>
    <w:rsidRoot w:val="38DE5422"/>
    <w:rsid w:val="0003378C"/>
    <w:rsid w:val="000D16AB"/>
    <w:rsid w:val="00350AA4"/>
    <w:rsid w:val="00446119"/>
    <w:rsid w:val="007C7EC5"/>
    <w:rsid w:val="00857E07"/>
    <w:rsid w:val="00D44DF6"/>
    <w:rsid w:val="00DE0433"/>
    <w:rsid w:val="03576F6D"/>
    <w:rsid w:val="38DE5422"/>
    <w:rsid w:val="4003089E"/>
    <w:rsid w:val="45CE52A4"/>
    <w:rsid w:val="50A0658F"/>
    <w:rsid w:val="7E970E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1FADD5F"/>
  <w15:docId w15:val="{320C10AB-2B0A-4CA7-B9D0-7066CB1CD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2" w:uiPriority="39" w:qFormat="1"/>
    <w:lsdException w:name="annotation text" w:uiPriority="99" w:unhideWhenUsed="1" w:qFormat="1"/>
    <w:lsdException w:name="header" w:qFormat="1"/>
    <w:lsdException w:name="footer" w:qFormat="1"/>
    <w:lsdException w:name="caption" w:semiHidden="1" w:unhideWhenUsed="1" w:qFormat="1"/>
    <w:lsdException w:name="annotation reference" w:qFormat="1"/>
    <w:lsdException w:name="Title" w:qFormat="1"/>
    <w:lsdException w:name="Default Paragraph Font" w:semiHidden="1" w:uiPriority="1" w:unhideWhenUsed="1"/>
    <w:lsdException w:name="Body Text Indent" w:qFormat="1"/>
    <w:lsdException w:name="Subtitle" w:qFormat="1"/>
    <w:lsdException w:name="Body Text First Indent 2" w:uiPriority="99"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qFormat/>
    <w:pPr>
      <w:jc w:val="left"/>
    </w:pPr>
  </w:style>
  <w:style w:type="paragraph" w:styleId="a5">
    <w:name w:val="Body Text Indent"/>
    <w:basedOn w:val="a"/>
    <w:next w:val="a"/>
    <w:qFormat/>
    <w:pPr>
      <w:spacing w:after="120"/>
      <w:ind w:leftChars="200" w:left="420"/>
    </w:pPr>
  </w:style>
  <w:style w:type="paragraph" w:styleId="a6">
    <w:name w:val="Balloon Text"/>
    <w:basedOn w:val="a"/>
    <w:link w:val="a7"/>
    <w:qFormat/>
    <w:rPr>
      <w:sz w:val="18"/>
      <w:szCs w:val="18"/>
    </w:rPr>
  </w:style>
  <w:style w:type="paragraph" w:styleId="a8">
    <w:name w:val="footer"/>
    <w:basedOn w:val="a"/>
    <w:link w:val="a9"/>
    <w:qFormat/>
    <w:pPr>
      <w:tabs>
        <w:tab w:val="center" w:pos="4153"/>
        <w:tab w:val="right" w:pos="8306"/>
      </w:tabs>
      <w:snapToGrid w:val="0"/>
      <w:jc w:val="left"/>
    </w:pPr>
    <w:rPr>
      <w:sz w:val="18"/>
      <w:szCs w:val="18"/>
    </w:rPr>
  </w:style>
  <w:style w:type="paragraph" w:styleId="aa">
    <w:name w:val="header"/>
    <w:basedOn w:val="a"/>
    <w:link w:val="ab"/>
    <w:qFormat/>
    <w:pPr>
      <w:pBdr>
        <w:bottom w:val="single" w:sz="6" w:space="1" w:color="auto"/>
      </w:pBdr>
      <w:tabs>
        <w:tab w:val="center" w:pos="4153"/>
        <w:tab w:val="right" w:pos="8306"/>
      </w:tabs>
      <w:snapToGrid w:val="0"/>
      <w:jc w:val="center"/>
    </w:pPr>
    <w:rPr>
      <w:sz w:val="18"/>
      <w:szCs w:val="18"/>
    </w:rPr>
  </w:style>
  <w:style w:type="paragraph" w:styleId="TOC2">
    <w:name w:val="toc 2"/>
    <w:basedOn w:val="a"/>
    <w:next w:val="a"/>
    <w:uiPriority w:val="39"/>
    <w:qFormat/>
    <w:pPr>
      <w:tabs>
        <w:tab w:val="right" w:leader="dot" w:pos="8579"/>
      </w:tabs>
      <w:ind w:leftChars="286" w:left="567"/>
      <w:jc w:val="left"/>
    </w:pPr>
    <w:rPr>
      <w:rFonts w:cs="Calibri"/>
      <w:b/>
      <w:bCs/>
      <w:sz w:val="20"/>
      <w:szCs w:val="20"/>
    </w:rPr>
  </w:style>
  <w:style w:type="paragraph" w:styleId="ac">
    <w:name w:val="annotation subject"/>
    <w:basedOn w:val="a3"/>
    <w:next w:val="a3"/>
    <w:link w:val="ad"/>
    <w:qFormat/>
    <w:rPr>
      <w:b/>
      <w:bCs/>
    </w:rPr>
  </w:style>
  <w:style w:type="paragraph" w:styleId="2">
    <w:name w:val="Body Text First Indent 2"/>
    <w:basedOn w:val="a5"/>
    <w:uiPriority w:val="99"/>
    <w:unhideWhenUsed/>
    <w:qFormat/>
    <w:pPr>
      <w:tabs>
        <w:tab w:val="left" w:pos="705"/>
      </w:tabs>
      <w:ind w:firstLineChars="200" w:firstLine="420"/>
    </w:pPr>
  </w:style>
  <w:style w:type="character" w:styleId="ae">
    <w:name w:val="annotation reference"/>
    <w:basedOn w:val="a0"/>
    <w:qFormat/>
    <w:rPr>
      <w:sz w:val="21"/>
      <w:szCs w:val="21"/>
    </w:rPr>
  </w:style>
  <w:style w:type="paragraph" w:styleId="af">
    <w:name w:val="List Paragraph"/>
    <w:basedOn w:val="a"/>
    <w:uiPriority w:val="34"/>
    <w:qFormat/>
    <w:pPr>
      <w:ind w:firstLineChars="200" w:firstLine="420"/>
    </w:pPr>
  </w:style>
  <w:style w:type="character" w:customStyle="1" w:styleId="ab">
    <w:name w:val="页眉 字符"/>
    <w:basedOn w:val="a0"/>
    <w:link w:val="aa"/>
    <w:qFormat/>
    <w:rPr>
      <w:kern w:val="2"/>
      <w:sz w:val="18"/>
      <w:szCs w:val="18"/>
    </w:rPr>
  </w:style>
  <w:style w:type="character" w:customStyle="1" w:styleId="a9">
    <w:name w:val="页脚 字符"/>
    <w:basedOn w:val="a0"/>
    <w:link w:val="a8"/>
    <w:qFormat/>
    <w:rPr>
      <w:kern w:val="2"/>
      <w:sz w:val="18"/>
      <w:szCs w:val="18"/>
    </w:rPr>
  </w:style>
  <w:style w:type="character" w:customStyle="1" w:styleId="a4">
    <w:name w:val="批注文字 字符"/>
    <w:basedOn w:val="a0"/>
    <w:link w:val="a3"/>
    <w:uiPriority w:val="99"/>
    <w:qFormat/>
    <w:rPr>
      <w:kern w:val="2"/>
      <w:sz w:val="21"/>
      <w:szCs w:val="24"/>
    </w:rPr>
  </w:style>
  <w:style w:type="character" w:customStyle="1" w:styleId="ad">
    <w:name w:val="批注主题 字符"/>
    <w:basedOn w:val="a4"/>
    <w:link w:val="ac"/>
    <w:qFormat/>
    <w:rPr>
      <w:b/>
      <w:bCs/>
      <w:kern w:val="2"/>
      <w:sz w:val="21"/>
      <w:szCs w:val="24"/>
    </w:rPr>
  </w:style>
  <w:style w:type="character" w:customStyle="1" w:styleId="a7">
    <w:name w:val="批注框文本 字符"/>
    <w:basedOn w:val="a0"/>
    <w:link w:val="a6"/>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209DCE-0A39-48FB-871B-ED0B130EF6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7</Pages>
  <Words>473</Words>
  <Characters>2701</Characters>
  <Application>Microsoft Office Word</Application>
  <DocSecurity>0</DocSecurity>
  <Lines>22</Lines>
  <Paragraphs>6</Paragraphs>
  <ScaleCrop>false</ScaleCrop>
  <Company/>
  <LinksUpToDate>false</LinksUpToDate>
  <CharactersWithSpaces>3168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玉观印</dc:creator>
  <cp:lastModifiedBy>Administrator</cp:lastModifiedBy>
  <cp:revision>4</cp:revision>
  <dcterms:created xsi:type="dcterms:W3CDTF">2022-06-20T09:37:00Z</dcterms:created>
  <dcterms:modified xsi:type="dcterms:W3CDTF">2022-06-30T08:12:00Z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DE7311562DE04ACCA1CD5AEEB0B4662D</vt:lpwstr>
  </property>
</Properties>
</file>