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35F9269">
      <w:pPr>
        <w:autoSpaceDE w:val="0"/>
        <w:autoSpaceDN w:val="0"/>
        <w:adjustRightInd w:val="0"/>
        <w:jc w:val="center"/>
        <w:rPr>
          <w:rFonts w:ascii="Times New Roman" w:hAnsi="Times New Roman" w:eastAsia="方正小标宋简体" w:cs="方正小标宋简体"/>
          <w:kern w:val="0"/>
          <w:sz w:val="48"/>
          <w:szCs w:val="48"/>
          <w:lang w:val="zh-CN"/>
        </w:rPr>
      </w:pPr>
    </w:p>
    <w:p w14:paraId="340B4A04">
      <w:pPr>
        <w:autoSpaceDE w:val="0"/>
        <w:autoSpaceDN w:val="0"/>
        <w:adjustRightInd w:val="0"/>
        <w:jc w:val="center"/>
        <w:rPr>
          <w:rFonts w:ascii="Times New Roman" w:hAnsi="Times New Roman" w:eastAsia="方正小标宋简体" w:cs="方正小标宋简体"/>
          <w:kern w:val="0"/>
          <w:sz w:val="48"/>
          <w:szCs w:val="48"/>
          <w:lang w:val="zh-CN"/>
        </w:rPr>
      </w:pPr>
    </w:p>
    <w:p w14:paraId="4F9D6804">
      <w:pPr>
        <w:autoSpaceDE w:val="0"/>
        <w:autoSpaceDN w:val="0"/>
        <w:adjustRightInd w:val="0"/>
        <w:jc w:val="center"/>
        <w:rPr>
          <w:rFonts w:ascii="Times New Roman" w:hAnsi="Times New Roman" w:eastAsia="方正小标宋简体" w:cs="方正小标宋简体"/>
          <w:kern w:val="0"/>
          <w:sz w:val="48"/>
          <w:szCs w:val="48"/>
          <w:lang w:val="zh-CN"/>
        </w:rPr>
      </w:pPr>
    </w:p>
    <w:p w14:paraId="0645F95C">
      <w:pPr>
        <w:autoSpaceDE w:val="0"/>
        <w:autoSpaceDN w:val="0"/>
        <w:adjustRightInd w:val="0"/>
        <w:jc w:val="center"/>
        <w:rPr>
          <w:rFonts w:ascii="Times New Roman" w:hAnsi="Times New Roman" w:eastAsia="方正小标宋简体" w:cs="方正小标宋简体"/>
          <w:kern w:val="0"/>
          <w:sz w:val="48"/>
          <w:szCs w:val="48"/>
          <w:lang w:val="zh-CN"/>
        </w:rPr>
      </w:pPr>
    </w:p>
    <w:p w14:paraId="423521EB">
      <w:pPr>
        <w:autoSpaceDE w:val="0"/>
        <w:autoSpaceDN w:val="0"/>
        <w:adjustRightInd w:val="0"/>
        <w:jc w:val="center"/>
        <w:rPr>
          <w:rFonts w:ascii="Times New Roman" w:hAnsi="Times New Roman" w:eastAsia="方正小标宋简体" w:cs="方正小标宋简体"/>
          <w:kern w:val="0"/>
          <w:sz w:val="48"/>
          <w:szCs w:val="48"/>
          <w:lang w:val="zh-CN"/>
        </w:rPr>
      </w:pPr>
    </w:p>
    <w:p w14:paraId="03FBED5B">
      <w:pPr>
        <w:autoSpaceDE w:val="0"/>
        <w:autoSpaceDN w:val="0"/>
        <w:adjustRightInd w:val="0"/>
        <w:jc w:val="center"/>
        <w:rPr>
          <w:rFonts w:ascii="Times New Roman" w:hAnsi="Times New Roman" w:eastAsia="方正小标宋简体" w:cs="方正小标宋简体"/>
          <w:kern w:val="0"/>
          <w:sz w:val="48"/>
          <w:szCs w:val="48"/>
          <w:lang w:val="zh-CN"/>
        </w:rPr>
      </w:pPr>
    </w:p>
    <w:p w14:paraId="6DE8E0C0">
      <w:pPr>
        <w:autoSpaceDE w:val="0"/>
        <w:autoSpaceDN w:val="0"/>
        <w:adjustRightInd w:val="0"/>
        <w:jc w:val="center"/>
        <w:rPr>
          <w:rFonts w:ascii="Times New Roman" w:hAnsi="Times New Roman" w:eastAsia="方正小标宋简体" w:cs="方正小标宋简体"/>
          <w:kern w:val="0"/>
          <w:sz w:val="48"/>
          <w:szCs w:val="48"/>
          <w:lang w:val="zh-CN"/>
        </w:rPr>
      </w:pPr>
    </w:p>
    <w:p w14:paraId="5DF51FB4">
      <w:pPr>
        <w:autoSpaceDE w:val="0"/>
        <w:autoSpaceDN w:val="0"/>
        <w:adjustRightInd w:val="0"/>
        <w:jc w:val="center"/>
        <w:rPr>
          <w:rFonts w:ascii="Times New Roman" w:hAnsi="Times New Roman" w:eastAsia="方正小标宋简体" w:cs="方正小标宋简体"/>
          <w:kern w:val="0"/>
          <w:sz w:val="48"/>
          <w:szCs w:val="48"/>
          <w:lang w:val="zh-CN"/>
        </w:rPr>
      </w:pPr>
    </w:p>
    <w:p w14:paraId="0FA27F76">
      <w:pPr>
        <w:autoSpaceDE w:val="0"/>
        <w:autoSpaceDN w:val="0"/>
        <w:adjustRightInd w:val="0"/>
        <w:jc w:val="center"/>
        <w:rPr>
          <w:rFonts w:ascii="Times New Roman" w:hAnsi="Times New Roman" w:eastAsia="方正小标宋简体" w:cs="方正小标宋简体"/>
          <w:kern w:val="0"/>
          <w:sz w:val="48"/>
          <w:szCs w:val="48"/>
          <w:lang w:val="zh-CN"/>
        </w:rPr>
      </w:pPr>
      <w:r>
        <w:rPr>
          <w:rFonts w:hint="eastAsia" w:ascii="Times New Roman" w:hAnsi="Times New Roman" w:eastAsia="方正小标宋简体" w:cs="方正小标宋简体"/>
          <w:kern w:val="0"/>
          <w:sz w:val="48"/>
          <w:szCs w:val="48"/>
          <w:lang w:val="zh-CN"/>
        </w:rPr>
        <w:t>天津市宝坻区民政综合服务中心2023年度部门决算</w:t>
      </w:r>
    </w:p>
    <w:p w14:paraId="233CED39">
      <w:pPr>
        <w:autoSpaceDE w:val="0"/>
        <w:autoSpaceDN w:val="0"/>
        <w:adjustRightInd w:val="0"/>
        <w:spacing w:line="580" w:lineRule="exact"/>
        <w:jc w:val="center"/>
        <w:rPr>
          <w:rFonts w:ascii="Times New Roman" w:hAnsi="Times New Roman" w:eastAsia="黑体" w:cs="黑体"/>
          <w:sz w:val="30"/>
          <w:szCs w:val="30"/>
        </w:rPr>
      </w:pPr>
    </w:p>
    <w:p w14:paraId="47C07DBF">
      <w:pPr>
        <w:autoSpaceDE w:val="0"/>
        <w:autoSpaceDN w:val="0"/>
        <w:adjustRightInd w:val="0"/>
        <w:spacing w:line="580" w:lineRule="exact"/>
        <w:jc w:val="center"/>
        <w:rPr>
          <w:rFonts w:ascii="Times New Roman" w:hAnsi="Times New Roman" w:eastAsia="黑体" w:cs="黑体"/>
          <w:sz w:val="30"/>
          <w:szCs w:val="30"/>
        </w:rPr>
      </w:pPr>
    </w:p>
    <w:p w14:paraId="4B6FE8D2">
      <w:pPr>
        <w:autoSpaceDE w:val="0"/>
        <w:autoSpaceDN w:val="0"/>
        <w:adjustRightInd w:val="0"/>
        <w:spacing w:line="580" w:lineRule="exact"/>
        <w:jc w:val="center"/>
        <w:rPr>
          <w:rFonts w:ascii="Times New Roman" w:hAnsi="Times New Roman" w:eastAsia="黑体" w:cs="黑体"/>
          <w:sz w:val="30"/>
          <w:szCs w:val="30"/>
        </w:rPr>
      </w:pPr>
    </w:p>
    <w:p w14:paraId="333C8BB3">
      <w:pPr>
        <w:autoSpaceDE w:val="0"/>
        <w:autoSpaceDN w:val="0"/>
        <w:adjustRightInd w:val="0"/>
        <w:spacing w:line="580" w:lineRule="exact"/>
        <w:jc w:val="center"/>
        <w:rPr>
          <w:rFonts w:ascii="Times New Roman" w:hAnsi="Times New Roman" w:eastAsia="黑体" w:cs="黑体"/>
          <w:sz w:val="30"/>
          <w:szCs w:val="30"/>
        </w:rPr>
      </w:pPr>
    </w:p>
    <w:p w14:paraId="54B26416">
      <w:pPr>
        <w:autoSpaceDE w:val="0"/>
        <w:autoSpaceDN w:val="0"/>
        <w:adjustRightInd w:val="0"/>
        <w:spacing w:line="580" w:lineRule="exact"/>
        <w:jc w:val="center"/>
        <w:rPr>
          <w:rFonts w:ascii="Times New Roman" w:hAnsi="Times New Roman" w:eastAsia="黑体" w:cs="黑体"/>
          <w:sz w:val="30"/>
          <w:szCs w:val="30"/>
        </w:rPr>
      </w:pPr>
    </w:p>
    <w:p w14:paraId="67DF51F4">
      <w:pPr>
        <w:autoSpaceDE w:val="0"/>
        <w:autoSpaceDN w:val="0"/>
        <w:adjustRightInd w:val="0"/>
        <w:spacing w:line="600" w:lineRule="exact"/>
        <w:jc w:val="center"/>
        <w:rPr>
          <w:rFonts w:ascii="Times New Roman" w:hAnsi="Times New Roman" w:eastAsia="黑体" w:cs="黑体"/>
          <w:kern w:val="0"/>
          <w:sz w:val="44"/>
          <w:szCs w:val="44"/>
        </w:rPr>
      </w:pPr>
      <w:r>
        <w:rPr>
          <w:rFonts w:ascii="Times New Roman" w:hAnsi="Times New Roman" w:eastAsia="黑体" w:cs="黑体"/>
          <w:sz w:val="30"/>
          <w:szCs w:val="30"/>
        </w:rPr>
        <w:br w:type="page"/>
      </w:r>
    </w:p>
    <w:p w14:paraId="180AD72E">
      <w:pPr>
        <w:autoSpaceDE w:val="0"/>
        <w:autoSpaceDN w:val="0"/>
        <w:adjustRightInd w:val="0"/>
        <w:spacing w:line="600" w:lineRule="exact"/>
        <w:jc w:val="center"/>
        <w:rPr>
          <w:rFonts w:ascii="Times New Roman" w:hAnsi="Times New Roman" w:eastAsia="黑体" w:cs="黑体"/>
          <w:kern w:val="0"/>
          <w:sz w:val="44"/>
          <w:szCs w:val="44"/>
        </w:rPr>
      </w:pPr>
      <w:r>
        <w:rPr>
          <w:rFonts w:hint="eastAsia" w:ascii="Times New Roman" w:hAnsi="Times New Roman" w:eastAsia="黑体" w:cs="黑体"/>
          <w:kern w:val="0"/>
          <w:sz w:val="44"/>
          <w:szCs w:val="44"/>
        </w:rPr>
        <w:t>目录</w:t>
      </w:r>
    </w:p>
    <w:p w14:paraId="5F69BD4B">
      <w:pPr>
        <w:autoSpaceDE w:val="0"/>
        <w:autoSpaceDN w:val="0"/>
        <w:adjustRightInd w:val="0"/>
        <w:spacing w:line="600" w:lineRule="exact"/>
        <w:jc w:val="left"/>
        <w:rPr>
          <w:rFonts w:ascii="Times New Roman" w:hAnsi="Times New Roman" w:eastAsia="黑体" w:cs="黑体"/>
          <w:kern w:val="0"/>
          <w:sz w:val="30"/>
          <w:szCs w:val="30"/>
        </w:rPr>
      </w:pPr>
    </w:p>
    <w:p w14:paraId="72FB6130">
      <w:pPr>
        <w:tabs>
          <w:tab w:val="right" w:leader="dot" w:pos="8306"/>
        </w:tabs>
        <w:autoSpaceDE w:val="0"/>
        <w:autoSpaceDN w:val="0"/>
        <w:adjustRightInd w:val="0"/>
        <w:spacing w:line="700" w:lineRule="exact"/>
        <w:jc w:val="left"/>
        <w:rPr>
          <w:rFonts w:ascii="Times New Roman" w:hAnsi="Times New Roman" w:eastAsia="方正小标宋简体" w:cs="Times New Roman"/>
          <w:kern w:val="0"/>
          <w:sz w:val="30"/>
          <w:szCs w:val="30"/>
        </w:rPr>
      </w:pPr>
      <w:r>
        <w:rPr>
          <w:rFonts w:hint="eastAsia" w:ascii="Times New Roman" w:hAnsi="Times New Roman" w:eastAsia="方正小标宋简体" w:cs="方正小标宋简体"/>
          <w:kern w:val="0"/>
          <w:sz w:val="30"/>
          <w:szCs w:val="30"/>
        </w:rPr>
        <w:t>第一部分概况</w:t>
      </w:r>
    </w:p>
    <w:p w14:paraId="7A302D85">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一、主要职责</w:t>
      </w:r>
    </w:p>
    <w:p w14:paraId="69CB2593">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二、机构设置</w:t>
      </w:r>
    </w:p>
    <w:p w14:paraId="13777ECF">
      <w:pPr>
        <w:tabs>
          <w:tab w:val="right" w:leader="dot" w:pos="8306"/>
        </w:tabs>
        <w:autoSpaceDE w:val="0"/>
        <w:autoSpaceDN w:val="0"/>
        <w:adjustRightInd w:val="0"/>
        <w:spacing w:line="700" w:lineRule="exact"/>
        <w:jc w:val="left"/>
        <w:rPr>
          <w:rFonts w:ascii="Times New Roman" w:hAnsi="Times New Roman" w:eastAsia="方正小标宋简体" w:cs="Times New Roman"/>
          <w:kern w:val="0"/>
          <w:sz w:val="30"/>
          <w:szCs w:val="30"/>
        </w:rPr>
      </w:pPr>
      <w:r>
        <w:rPr>
          <w:rFonts w:hint="eastAsia" w:ascii="Times New Roman" w:hAnsi="Times New Roman" w:eastAsia="方正小标宋简体" w:cs="方正小标宋简体"/>
          <w:kern w:val="0"/>
          <w:sz w:val="30"/>
          <w:szCs w:val="30"/>
        </w:rPr>
        <w:t>第二部分2023年度部门决算表</w:t>
      </w:r>
    </w:p>
    <w:p w14:paraId="7B432C5D">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一、收入支出决算总表</w:t>
      </w:r>
    </w:p>
    <w:p w14:paraId="3A3D4807">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二、收入决算表（按功能分类列示）</w:t>
      </w:r>
    </w:p>
    <w:p w14:paraId="2683AAF8">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三、收入决算表（按单位列示）</w:t>
      </w:r>
    </w:p>
    <w:p w14:paraId="61B3DDFA">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四、支出决算表</w:t>
      </w:r>
    </w:p>
    <w:p w14:paraId="09254A62">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五、财政拨款收入支出决算总表</w:t>
      </w:r>
    </w:p>
    <w:p w14:paraId="62C402D2">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六、一般公共预算财政拨款支出决算表</w:t>
      </w:r>
    </w:p>
    <w:p w14:paraId="60020880">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七、一般公共预算财政拨款基本支出决算表</w:t>
      </w:r>
    </w:p>
    <w:p w14:paraId="2E62B0CE">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八、政府性基金预算财政拨款收入支出决算表</w:t>
      </w:r>
    </w:p>
    <w:p w14:paraId="452D4AD7">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九、国有资本经营预算财政拨款收入支出决算表</w:t>
      </w:r>
    </w:p>
    <w:p w14:paraId="0893967A">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十、财政拨款</w:t>
      </w:r>
      <w:r>
        <w:rPr>
          <w:rFonts w:ascii="Times New Roman" w:hAnsi="Times New Roman" w:eastAsia="仿宋_GB2312" w:cs="仿宋_GB2312"/>
          <w:kern w:val="0"/>
          <w:sz w:val="30"/>
          <w:szCs w:val="30"/>
        </w:rPr>
        <w:t>“</w:t>
      </w:r>
      <w:r>
        <w:rPr>
          <w:rFonts w:hint="eastAsia" w:ascii="Times New Roman" w:hAnsi="Times New Roman" w:eastAsia="仿宋_GB2312" w:cs="仿宋_GB2312"/>
          <w:kern w:val="0"/>
          <w:sz w:val="30"/>
          <w:szCs w:val="30"/>
        </w:rPr>
        <w:t>三公</w:t>
      </w:r>
      <w:r>
        <w:rPr>
          <w:rFonts w:ascii="Times New Roman" w:hAnsi="Times New Roman" w:eastAsia="仿宋_GB2312" w:cs="仿宋_GB2312"/>
          <w:kern w:val="0"/>
          <w:sz w:val="30"/>
          <w:szCs w:val="30"/>
        </w:rPr>
        <w:t>”</w:t>
      </w:r>
      <w:r>
        <w:rPr>
          <w:rFonts w:hint="eastAsia" w:ascii="Times New Roman" w:hAnsi="Times New Roman" w:eastAsia="仿宋_GB2312" w:cs="仿宋_GB2312"/>
          <w:kern w:val="0"/>
          <w:sz w:val="30"/>
          <w:szCs w:val="30"/>
        </w:rPr>
        <w:t>经费支出决算表</w:t>
      </w:r>
    </w:p>
    <w:p w14:paraId="45CE4691">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十一、项目支出决算表</w:t>
      </w:r>
    </w:p>
    <w:p w14:paraId="5FFA93B4">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十二、关于空表的说明</w:t>
      </w:r>
    </w:p>
    <w:p w14:paraId="32AEAD46">
      <w:pPr>
        <w:tabs>
          <w:tab w:val="right" w:leader="dot" w:pos="8306"/>
        </w:tabs>
        <w:autoSpaceDE w:val="0"/>
        <w:autoSpaceDN w:val="0"/>
        <w:adjustRightInd w:val="0"/>
        <w:spacing w:line="700" w:lineRule="exact"/>
        <w:jc w:val="left"/>
        <w:rPr>
          <w:rFonts w:ascii="Times New Roman" w:hAnsi="Times New Roman" w:eastAsia="方正小标宋简体" w:cs="Times New Roman"/>
          <w:kern w:val="0"/>
          <w:sz w:val="30"/>
          <w:szCs w:val="30"/>
        </w:rPr>
      </w:pPr>
      <w:r>
        <w:rPr>
          <w:rFonts w:hint="eastAsia" w:ascii="Times New Roman" w:hAnsi="Times New Roman" w:eastAsia="方正小标宋简体" w:cs="方正小标宋简体"/>
          <w:kern w:val="0"/>
          <w:sz w:val="30"/>
          <w:szCs w:val="30"/>
        </w:rPr>
        <w:t>第三部分2023年度部门决算情况说明</w:t>
      </w:r>
    </w:p>
    <w:p w14:paraId="72D7C72D">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一、收支决算总体情况说明</w:t>
      </w:r>
    </w:p>
    <w:p w14:paraId="1CB44CD5">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二、收入决算情况说明</w:t>
      </w:r>
    </w:p>
    <w:p w14:paraId="716E897C">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三、支出决算情况说明</w:t>
      </w:r>
    </w:p>
    <w:p w14:paraId="49BAA8C2">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四、财政拨款收支决算总体情况说明</w:t>
      </w:r>
    </w:p>
    <w:p w14:paraId="3543AEB8">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五、一般公共预算财政拨款支出决算情况说明</w:t>
      </w:r>
    </w:p>
    <w:p w14:paraId="3B6E2A02">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六、一般公共预算财政拨款基本支出决算情况说明</w:t>
      </w:r>
    </w:p>
    <w:p w14:paraId="795243C5">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七、政府性基金预算财政拨款收支决算情况说明</w:t>
      </w:r>
    </w:p>
    <w:p w14:paraId="7AF0BD42">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八、国有资本经营预算财政拨款收支决算情况说明</w:t>
      </w:r>
    </w:p>
    <w:p w14:paraId="22C52D77">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九、财政拨款</w:t>
      </w:r>
      <w:r>
        <w:rPr>
          <w:rFonts w:ascii="Times New Roman" w:hAnsi="Times New Roman" w:eastAsia="仿宋_GB2312" w:cs="仿宋_GB2312"/>
          <w:kern w:val="0"/>
          <w:sz w:val="30"/>
          <w:szCs w:val="30"/>
        </w:rPr>
        <w:t>“</w:t>
      </w:r>
      <w:r>
        <w:rPr>
          <w:rFonts w:hint="eastAsia" w:ascii="Times New Roman" w:hAnsi="Times New Roman" w:eastAsia="仿宋_GB2312" w:cs="仿宋_GB2312"/>
          <w:kern w:val="0"/>
          <w:sz w:val="30"/>
          <w:szCs w:val="30"/>
        </w:rPr>
        <w:t>三公</w:t>
      </w:r>
      <w:r>
        <w:rPr>
          <w:rFonts w:ascii="Times New Roman" w:hAnsi="Times New Roman" w:eastAsia="仿宋_GB2312" w:cs="仿宋_GB2312"/>
          <w:kern w:val="0"/>
          <w:sz w:val="30"/>
          <w:szCs w:val="30"/>
        </w:rPr>
        <w:t>”</w:t>
      </w:r>
      <w:r>
        <w:rPr>
          <w:rFonts w:hint="eastAsia" w:ascii="Times New Roman" w:hAnsi="Times New Roman" w:eastAsia="仿宋_GB2312" w:cs="仿宋_GB2312"/>
          <w:kern w:val="0"/>
          <w:sz w:val="30"/>
          <w:szCs w:val="30"/>
        </w:rPr>
        <w:t>经费支出决算情况说明</w:t>
      </w:r>
    </w:p>
    <w:p w14:paraId="698A3E07">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十、机关运行经费支出情况说明</w:t>
      </w:r>
    </w:p>
    <w:p w14:paraId="0A0A1CAB">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十一、政府采购支出情况说明</w:t>
      </w:r>
    </w:p>
    <w:p w14:paraId="2A80DBC3">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十二、国有资产占有使用情况说明</w:t>
      </w:r>
    </w:p>
    <w:p w14:paraId="425EA091">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十三、预算绩效情况说明</w:t>
      </w:r>
    </w:p>
    <w:p w14:paraId="325F95DB">
      <w:pPr>
        <w:tabs>
          <w:tab w:val="right" w:leader="dot" w:pos="8306"/>
        </w:tabs>
        <w:autoSpaceDE w:val="0"/>
        <w:autoSpaceDN w:val="0"/>
        <w:adjustRightInd w:val="0"/>
        <w:spacing w:line="700" w:lineRule="exact"/>
        <w:ind w:left="22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十四、教育、医疗卫生、社会保障和就业、住房保障、涉农补贴等民生支出情况说明</w:t>
      </w:r>
    </w:p>
    <w:p w14:paraId="0CEFF63B">
      <w:pPr>
        <w:tabs>
          <w:tab w:val="right" w:leader="dot" w:pos="8306"/>
        </w:tabs>
        <w:autoSpaceDE w:val="0"/>
        <w:autoSpaceDN w:val="0"/>
        <w:adjustRightInd w:val="0"/>
        <w:spacing w:line="700" w:lineRule="exact"/>
        <w:jc w:val="left"/>
        <w:rPr>
          <w:rFonts w:ascii="Times New Roman" w:hAnsi="Times New Roman" w:eastAsia="方正小标宋简体" w:cs="Times New Roman"/>
          <w:kern w:val="0"/>
          <w:sz w:val="30"/>
          <w:szCs w:val="30"/>
        </w:rPr>
      </w:pPr>
      <w:r>
        <w:rPr>
          <w:rFonts w:hint="eastAsia" w:ascii="Times New Roman" w:hAnsi="Times New Roman" w:eastAsia="方正小标宋简体" w:cs="方正小标宋简体"/>
          <w:kern w:val="0"/>
          <w:sz w:val="30"/>
          <w:szCs w:val="30"/>
        </w:rPr>
        <w:t>第四部分名词解释</w:t>
      </w:r>
    </w:p>
    <w:p w14:paraId="446B5B39">
      <w:pPr>
        <w:autoSpaceDE w:val="0"/>
        <w:autoSpaceDN w:val="0"/>
        <w:adjustRightInd w:val="0"/>
        <w:spacing w:line="700" w:lineRule="exact"/>
        <w:jc w:val="left"/>
        <w:rPr>
          <w:rFonts w:ascii="Times New Roman" w:hAnsi="Times New Roman" w:eastAsia="黑体" w:cs="黑体"/>
          <w:sz w:val="30"/>
          <w:szCs w:val="30"/>
          <w:lang w:val="zh-CN"/>
        </w:rPr>
      </w:pPr>
      <w:r>
        <w:rPr>
          <w:rFonts w:ascii="Times New Roman" w:hAnsi="Times New Roman" w:eastAsia="黑体" w:cs="黑体"/>
          <w:sz w:val="30"/>
          <w:szCs w:val="30"/>
          <w:lang w:val="zh-CN"/>
        </w:rPr>
        <w:br w:type="page"/>
      </w:r>
    </w:p>
    <w:p w14:paraId="17D14BFA">
      <w:pPr>
        <w:keepNext/>
        <w:keepLines/>
        <w:autoSpaceDE w:val="0"/>
        <w:autoSpaceDN w:val="0"/>
        <w:adjustRightInd w:val="0"/>
        <w:spacing w:line="600" w:lineRule="exact"/>
        <w:jc w:val="center"/>
        <w:outlineLvl w:val="0"/>
        <w:rPr>
          <w:rFonts w:ascii="Times New Roman" w:hAnsi="Times New Roman" w:eastAsia="方正小标宋简体" w:cs="方正小标宋简体"/>
          <w:kern w:val="44"/>
          <w:sz w:val="44"/>
          <w:szCs w:val="44"/>
        </w:rPr>
      </w:pPr>
      <w:r>
        <w:rPr>
          <w:rFonts w:hint="eastAsia" w:ascii="Times New Roman" w:hAnsi="Times New Roman" w:eastAsia="方正小标宋简体" w:cs="方正小标宋简体"/>
          <w:kern w:val="44"/>
          <w:sz w:val="44"/>
          <w:szCs w:val="44"/>
        </w:rPr>
        <w:t>第一部分概况</w:t>
      </w:r>
    </w:p>
    <w:p w14:paraId="52BF7576">
      <w:pPr>
        <w:keepNext/>
        <w:keepLines/>
        <w:autoSpaceDE w:val="0"/>
        <w:autoSpaceDN w:val="0"/>
        <w:adjustRightInd w:val="0"/>
        <w:spacing w:line="600" w:lineRule="exact"/>
        <w:ind w:firstLine="600"/>
        <w:jc w:val="left"/>
        <w:outlineLvl w:val="1"/>
        <w:rPr>
          <w:rFonts w:ascii="Times New Roman" w:hAnsi="Times New Roman" w:eastAsia="黑体" w:cs="黑体"/>
          <w:kern w:val="0"/>
          <w:sz w:val="30"/>
          <w:szCs w:val="30"/>
        </w:rPr>
      </w:pPr>
      <w:r>
        <w:rPr>
          <w:rFonts w:hint="eastAsia" w:ascii="Times New Roman" w:hAnsi="Times New Roman" w:eastAsia="黑体" w:cs="黑体"/>
          <w:kern w:val="0"/>
          <w:sz w:val="30"/>
          <w:szCs w:val="30"/>
        </w:rPr>
        <w:t>一、主要职责</w:t>
      </w:r>
    </w:p>
    <w:p w14:paraId="0E144ECC">
      <w:pPr>
        <w:autoSpaceDE w:val="0"/>
        <w:autoSpaceDN w:val="0"/>
        <w:adjustRightInd w:val="0"/>
        <w:spacing w:line="600" w:lineRule="exact"/>
        <w:ind w:firstLine="600"/>
        <w:jc w:val="left"/>
        <w:rPr>
          <w:rFonts w:ascii="Times New Roman" w:hAnsi="Times New Roman" w:eastAsia="仿宋_GB2312" w:cs="仿宋_GB2312"/>
          <w:sz w:val="30"/>
          <w:szCs w:val="30"/>
        </w:rPr>
      </w:pPr>
      <w:r>
        <w:rPr>
          <w:rFonts w:hint="eastAsia" w:ascii="Times New Roman" w:hAnsi="Times New Roman" w:eastAsia="仿宋_GB2312" w:cs="仿宋_GB2312"/>
          <w:sz w:val="30"/>
          <w:szCs w:val="30"/>
        </w:rPr>
        <w:t>承担全区养老服务事业发展；负责全面建成具有本区特色的养老服务体系；负责全区国有企业退休人员社会化管理相关数据整体统计汇总等工作。</w:t>
      </w:r>
    </w:p>
    <w:p w14:paraId="0043FDB9">
      <w:pPr>
        <w:keepNext/>
        <w:keepLines/>
        <w:autoSpaceDE w:val="0"/>
        <w:autoSpaceDN w:val="0"/>
        <w:adjustRightInd w:val="0"/>
        <w:spacing w:line="600" w:lineRule="exact"/>
        <w:ind w:firstLine="600"/>
        <w:jc w:val="left"/>
        <w:outlineLvl w:val="1"/>
        <w:rPr>
          <w:rFonts w:ascii="Times New Roman" w:hAnsi="Times New Roman" w:eastAsia="黑体" w:cs="黑体"/>
          <w:kern w:val="0"/>
          <w:sz w:val="30"/>
          <w:szCs w:val="30"/>
        </w:rPr>
      </w:pPr>
      <w:r>
        <w:rPr>
          <w:rFonts w:hint="eastAsia" w:ascii="Times New Roman" w:hAnsi="Times New Roman" w:eastAsia="黑体" w:cs="黑体"/>
          <w:kern w:val="0"/>
          <w:sz w:val="30"/>
          <w:szCs w:val="30"/>
        </w:rPr>
        <w:t>二、机构设置</w:t>
      </w:r>
    </w:p>
    <w:p w14:paraId="7DD70B79">
      <w:pPr>
        <w:autoSpaceDE w:val="0"/>
        <w:autoSpaceDN w:val="0"/>
        <w:adjustRightInd w:val="0"/>
        <w:spacing w:line="600" w:lineRule="exact"/>
        <w:ind w:firstLine="600"/>
        <w:jc w:val="left"/>
        <w:rPr>
          <w:rFonts w:ascii="Times New Roman" w:hAnsi="Times New Roman" w:eastAsia="仿宋_GB2312" w:cs="仿宋_GB2312"/>
          <w:sz w:val="30"/>
          <w:szCs w:val="30"/>
        </w:rPr>
      </w:pPr>
      <w:r>
        <w:rPr>
          <w:rFonts w:hint="eastAsia" w:ascii="Times New Roman" w:hAnsi="Times New Roman" w:eastAsia="仿宋_GB2312" w:cs="仿宋_GB2312"/>
          <w:sz w:val="30"/>
          <w:szCs w:val="30"/>
        </w:rPr>
        <w:t>天津市宝坻区民政综合服务中心内设1个职能科室；下辖0个预算单位。纳入天津市宝坻区民政综合服务中心2023年度部门决算编制范围的单位包括：</w:t>
      </w:r>
    </w:p>
    <w:p w14:paraId="59B34BE7">
      <w:pPr>
        <w:autoSpaceDE w:val="0"/>
        <w:autoSpaceDN w:val="0"/>
        <w:adjustRightInd w:val="0"/>
        <w:spacing w:line="600" w:lineRule="exact"/>
        <w:ind w:firstLine="600"/>
        <w:jc w:val="left"/>
        <w:rPr>
          <w:rFonts w:ascii="Times New Roman" w:hAnsi="Times New Roman" w:eastAsia="仿宋_GB2312" w:cs="仿宋_GB2312"/>
          <w:sz w:val="30"/>
          <w:szCs w:val="30"/>
        </w:rPr>
      </w:pPr>
      <w:r>
        <w:rPr>
          <w:rFonts w:hint="eastAsia" w:ascii="Times New Roman" w:hAnsi="Times New Roman" w:eastAsia="仿宋_GB2312" w:cs="仿宋_GB2312"/>
          <w:sz w:val="30"/>
          <w:szCs w:val="30"/>
        </w:rPr>
        <w:t>1、天津市宝坻区民政综合服务中心</w:t>
      </w:r>
    </w:p>
    <w:p w14:paraId="795A5395">
      <w:pPr>
        <w:rPr>
          <w:rFonts w:ascii="Times New Roman" w:hAnsi="Times New Roman" w:eastAsia="黑体" w:cs="黑体"/>
          <w:sz w:val="30"/>
          <w:szCs w:val="30"/>
          <w:lang w:val="zh-CN"/>
        </w:rPr>
      </w:pPr>
      <w:r>
        <w:rPr>
          <w:rFonts w:ascii="Times New Roman" w:hAnsi="Times New Roman" w:eastAsia="黑体" w:cs="黑体"/>
          <w:sz w:val="30"/>
          <w:szCs w:val="30"/>
          <w:lang w:val="zh-CN"/>
        </w:rPr>
        <w:br w:type="page"/>
      </w:r>
    </w:p>
    <w:p w14:paraId="4955AD1D">
      <w:pPr>
        <w:keepNext/>
        <w:keepLines/>
        <w:autoSpaceDE w:val="0"/>
        <w:autoSpaceDN w:val="0"/>
        <w:adjustRightInd w:val="0"/>
        <w:spacing w:line="600" w:lineRule="exact"/>
        <w:jc w:val="center"/>
        <w:outlineLvl w:val="0"/>
        <w:rPr>
          <w:rFonts w:ascii="Times New Roman" w:hAnsi="Times New Roman" w:eastAsia="方正小标宋简体" w:cs="方正小标宋简体"/>
          <w:kern w:val="44"/>
          <w:sz w:val="44"/>
          <w:szCs w:val="44"/>
        </w:rPr>
      </w:pPr>
      <w:r>
        <w:rPr>
          <w:rFonts w:hint="eastAsia" w:ascii="Times New Roman" w:hAnsi="Times New Roman" w:eastAsia="方正小标宋简体" w:cs="方正小标宋简体"/>
          <w:kern w:val="44"/>
          <w:sz w:val="44"/>
          <w:szCs w:val="44"/>
        </w:rPr>
        <w:t>第二部分2023年度部门决算表</w:t>
      </w:r>
    </w:p>
    <w:p w14:paraId="42C212E6">
      <w:pPr>
        <w:autoSpaceDE w:val="0"/>
        <w:autoSpaceDN w:val="0"/>
        <w:adjustRightInd w:val="0"/>
        <w:spacing w:line="600" w:lineRule="exact"/>
        <w:jc w:val="left"/>
        <w:rPr>
          <w:rFonts w:ascii="Times New Roman" w:hAnsi="Times New Roman" w:eastAsia="方正小标宋简体" w:cs="Times New Roman"/>
          <w:kern w:val="0"/>
          <w:sz w:val="24"/>
          <w:szCs w:val="24"/>
        </w:rPr>
      </w:pPr>
    </w:p>
    <w:p w14:paraId="19D339EC">
      <w:pPr>
        <w:keepNext/>
        <w:keepLines/>
        <w:autoSpaceDE w:val="0"/>
        <w:autoSpaceDN w:val="0"/>
        <w:adjustRightInd w:val="0"/>
        <w:spacing w:line="800" w:lineRule="exact"/>
        <w:ind w:firstLine="600"/>
        <w:jc w:val="left"/>
        <w:outlineLvl w:val="1"/>
        <w:rPr>
          <w:rFonts w:ascii="Times New Roman" w:hAnsi="Times New Roman" w:eastAsia="黑体" w:cs="黑体"/>
          <w:kern w:val="0"/>
          <w:sz w:val="30"/>
          <w:szCs w:val="30"/>
        </w:rPr>
      </w:pPr>
      <w:r>
        <w:rPr>
          <w:rFonts w:hint="eastAsia" w:ascii="Times New Roman" w:hAnsi="Times New Roman" w:eastAsia="黑体" w:cs="黑体"/>
          <w:kern w:val="0"/>
          <w:sz w:val="30"/>
          <w:szCs w:val="30"/>
        </w:rPr>
        <w:t>一、《收入支出决算总表》</w:t>
      </w:r>
    </w:p>
    <w:p w14:paraId="054D3122">
      <w:pPr>
        <w:keepNext/>
        <w:keepLines/>
        <w:autoSpaceDE w:val="0"/>
        <w:autoSpaceDN w:val="0"/>
        <w:adjustRightInd w:val="0"/>
        <w:spacing w:line="800" w:lineRule="exact"/>
        <w:ind w:firstLine="600"/>
        <w:jc w:val="left"/>
        <w:outlineLvl w:val="1"/>
        <w:rPr>
          <w:rFonts w:ascii="Times New Roman" w:hAnsi="Times New Roman" w:eastAsia="黑体" w:cs="黑体"/>
          <w:kern w:val="0"/>
          <w:sz w:val="30"/>
          <w:szCs w:val="30"/>
        </w:rPr>
      </w:pPr>
      <w:r>
        <w:rPr>
          <w:rFonts w:hint="eastAsia" w:ascii="Times New Roman" w:hAnsi="Times New Roman" w:eastAsia="黑体" w:cs="黑体"/>
          <w:kern w:val="0"/>
          <w:sz w:val="30"/>
          <w:szCs w:val="30"/>
        </w:rPr>
        <w:t>二、《收入决算表（按功能分类列示）》</w:t>
      </w:r>
    </w:p>
    <w:p w14:paraId="64C00A8B">
      <w:pPr>
        <w:keepNext/>
        <w:keepLines/>
        <w:autoSpaceDE w:val="0"/>
        <w:autoSpaceDN w:val="0"/>
        <w:adjustRightInd w:val="0"/>
        <w:spacing w:line="800" w:lineRule="exact"/>
        <w:ind w:firstLine="600"/>
        <w:jc w:val="left"/>
        <w:outlineLvl w:val="1"/>
        <w:rPr>
          <w:rFonts w:ascii="Times New Roman" w:hAnsi="Times New Roman" w:eastAsia="黑体" w:cs="黑体"/>
          <w:kern w:val="0"/>
          <w:sz w:val="30"/>
          <w:szCs w:val="30"/>
        </w:rPr>
      </w:pPr>
      <w:r>
        <w:rPr>
          <w:rFonts w:hint="eastAsia" w:ascii="Times New Roman" w:hAnsi="Times New Roman" w:eastAsia="黑体" w:cs="黑体"/>
          <w:kern w:val="0"/>
          <w:sz w:val="30"/>
          <w:szCs w:val="30"/>
        </w:rPr>
        <w:t>三、《收入决算表（按单位列示）》</w:t>
      </w:r>
    </w:p>
    <w:p w14:paraId="02042D17">
      <w:pPr>
        <w:keepNext/>
        <w:keepLines/>
        <w:autoSpaceDE w:val="0"/>
        <w:autoSpaceDN w:val="0"/>
        <w:adjustRightInd w:val="0"/>
        <w:spacing w:line="800" w:lineRule="exact"/>
        <w:ind w:firstLine="600"/>
        <w:jc w:val="left"/>
        <w:outlineLvl w:val="1"/>
        <w:rPr>
          <w:rFonts w:ascii="Times New Roman" w:hAnsi="Times New Roman" w:eastAsia="黑体" w:cs="黑体"/>
          <w:kern w:val="0"/>
          <w:sz w:val="30"/>
          <w:szCs w:val="30"/>
        </w:rPr>
      </w:pPr>
      <w:r>
        <w:rPr>
          <w:rFonts w:hint="eastAsia" w:ascii="Times New Roman" w:hAnsi="Times New Roman" w:eastAsia="黑体" w:cs="黑体"/>
          <w:kern w:val="0"/>
          <w:sz w:val="30"/>
          <w:szCs w:val="30"/>
        </w:rPr>
        <w:t>四、《支出决算表》</w:t>
      </w:r>
    </w:p>
    <w:p w14:paraId="16536AF6">
      <w:pPr>
        <w:keepNext/>
        <w:keepLines/>
        <w:autoSpaceDE w:val="0"/>
        <w:autoSpaceDN w:val="0"/>
        <w:adjustRightInd w:val="0"/>
        <w:spacing w:line="800" w:lineRule="exact"/>
        <w:ind w:firstLine="600"/>
        <w:jc w:val="left"/>
        <w:outlineLvl w:val="1"/>
        <w:rPr>
          <w:rFonts w:ascii="Times New Roman" w:hAnsi="Times New Roman" w:eastAsia="黑体" w:cs="黑体"/>
          <w:kern w:val="0"/>
          <w:sz w:val="30"/>
          <w:szCs w:val="30"/>
        </w:rPr>
      </w:pPr>
      <w:r>
        <w:rPr>
          <w:rFonts w:hint="eastAsia" w:ascii="Times New Roman" w:hAnsi="Times New Roman" w:eastAsia="黑体" w:cs="黑体"/>
          <w:kern w:val="0"/>
          <w:sz w:val="30"/>
          <w:szCs w:val="30"/>
        </w:rPr>
        <w:t>五、《财政拨款收入支出决算总表》</w:t>
      </w:r>
    </w:p>
    <w:p w14:paraId="57397C82">
      <w:pPr>
        <w:keepNext/>
        <w:keepLines/>
        <w:autoSpaceDE w:val="0"/>
        <w:autoSpaceDN w:val="0"/>
        <w:adjustRightInd w:val="0"/>
        <w:spacing w:line="800" w:lineRule="exact"/>
        <w:ind w:firstLine="600"/>
        <w:jc w:val="left"/>
        <w:outlineLvl w:val="1"/>
        <w:rPr>
          <w:rFonts w:ascii="Times New Roman" w:hAnsi="Times New Roman" w:eastAsia="黑体" w:cs="黑体"/>
          <w:kern w:val="0"/>
          <w:sz w:val="30"/>
          <w:szCs w:val="30"/>
        </w:rPr>
      </w:pPr>
      <w:r>
        <w:rPr>
          <w:rFonts w:hint="eastAsia" w:ascii="Times New Roman" w:hAnsi="Times New Roman" w:eastAsia="黑体" w:cs="黑体"/>
          <w:kern w:val="0"/>
          <w:sz w:val="30"/>
          <w:szCs w:val="30"/>
        </w:rPr>
        <w:t>六、《一般公共预算财政拨款支出决算表》</w:t>
      </w:r>
    </w:p>
    <w:p w14:paraId="506BFD86">
      <w:pPr>
        <w:keepNext/>
        <w:keepLines/>
        <w:autoSpaceDE w:val="0"/>
        <w:autoSpaceDN w:val="0"/>
        <w:adjustRightInd w:val="0"/>
        <w:spacing w:line="800" w:lineRule="exact"/>
        <w:ind w:firstLine="600"/>
        <w:jc w:val="left"/>
        <w:outlineLvl w:val="1"/>
        <w:rPr>
          <w:rFonts w:ascii="Times New Roman" w:hAnsi="Times New Roman" w:eastAsia="黑体" w:cs="黑体"/>
          <w:kern w:val="0"/>
          <w:sz w:val="30"/>
          <w:szCs w:val="30"/>
        </w:rPr>
      </w:pPr>
      <w:r>
        <w:rPr>
          <w:rFonts w:hint="eastAsia" w:ascii="Times New Roman" w:hAnsi="Times New Roman" w:eastAsia="黑体" w:cs="黑体"/>
          <w:kern w:val="0"/>
          <w:sz w:val="30"/>
          <w:szCs w:val="30"/>
        </w:rPr>
        <w:t>七、《一般公共预算财政拨款基本支出决算表》</w:t>
      </w:r>
    </w:p>
    <w:p w14:paraId="7843F995">
      <w:pPr>
        <w:keepNext/>
        <w:keepLines/>
        <w:autoSpaceDE w:val="0"/>
        <w:autoSpaceDN w:val="0"/>
        <w:adjustRightInd w:val="0"/>
        <w:spacing w:line="800" w:lineRule="exact"/>
        <w:ind w:firstLine="600"/>
        <w:jc w:val="left"/>
        <w:outlineLvl w:val="1"/>
        <w:rPr>
          <w:rFonts w:ascii="Times New Roman" w:hAnsi="Times New Roman" w:eastAsia="黑体" w:cs="黑体"/>
          <w:kern w:val="0"/>
          <w:sz w:val="30"/>
          <w:szCs w:val="30"/>
        </w:rPr>
      </w:pPr>
      <w:r>
        <w:rPr>
          <w:rFonts w:hint="eastAsia" w:ascii="Times New Roman" w:hAnsi="Times New Roman" w:eastAsia="黑体" w:cs="黑体"/>
          <w:kern w:val="0"/>
          <w:sz w:val="30"/>
          <w:szCs w:val="30"/>
        </w:rPr>
        <w:t>八、《政府性基金预算财政拨款收入支出决算表》</w:t>
      </w:r>
    </w:p>
    <w:p w14:paraId="50C1A14F">
      <w:pPr>
        <w:keepNext/>
        <w:keepLines/>
        <w:autoSpaceDE w:val="0"/>
        <w:autoSpaceDN w:val="0"/>
        <w:adjustRightInd w:val="0"/>
        <w:spacing w:line="800" w:lineRule="exact"/>
        <w:ind w:firstLine="600"/>
        <w:jc w:val="left"/>
        <w:outlineLvl w:val="1"/>
        <w:rPr>
          <w:rFonts w:ascii="Times New Roman" w:hAnsi="Times New Roman" w:eastAsia="黑体" w:cs="黑体"/>
          <w:kern w:val="0"/>
          <w:sz w:val="30"/>
          <w:szCs w:val="30"/>
        </w:rPr>
      </w:pPr>
      <w:r>
        <w:rPr>
          <w:rFonts w:hint="eastAsia" w:ascii="Times New Roman" w:hAnsi="Times New Roman" w:eastAsia="黑体" w:cs="黑体"/>
          <w:kern w:val="0"/>
          <w:sz w:val="30"/>
          <w:szCs w:val="30"/>
        </w:rPr>
        <w:t>九、《国有资本经营预算财政拨款收入支出决算表》</w:t>
      </w:r>
    </w:p>
    <w:p w14:paraId="6F8A9670">
      <w:pPr>
        <w:keepNext/>
        <w:keepLines/>
        <w:autoSpaceDE w:val="0"/>
        <w:autoSpaceDN w:val="0"/>
        <w:adjustRightInd w:val="0"/>
        <w:spacing w:line="800" w:lineRule="exact"/>
        <w:ind w:firstLine="600"/>
        <w:jc w:val="left"/>
        <w:outlineLvl w:val="1"/>
        <w:rPr>
          <w:rFonts w:ascii="Times New Roman" w:hAnsi="Times New Roman" w:eastAsia="黑体" w:cs="黑体"/>
          <w:kern w:val="0"/>
          <w:sz w:val="30"/>
          <w:szCs w:val="30"/>
        </w:rPr>
      </w:pPr>
      <w:r>
        <w:rPr>
          <w:rFonts w:hint="eastAsia" w:ascii="Times New Roman" w:hAnsi="Times New Roman" w:eastAsia="黑体" w:cs="黑体"/>
          <w:kern w:val="0"/>
          <w:sz w:val="30"/>
          <w:szCs w:val="30"/>
        </w:rPr>
        <w:t>十、《财政拨款</w:t>
      </w:r>
      <w:r>
        <w:rPr>
          <w:rFonts w:ascii="Times New Roman" w:hAnsi="Times New Roman" w:eastAsia="黑体" w:cs="黑体"/>
          <w:kern w:val="0"/>
          <w:sz w:val="30"/>
          <w:szCs w:val="30"/>
        </w:rPr>
        <w:t>“</w:t>
      </w:r>
      <w:r>
        <w:rPr>
          <w:rFonts w:hint="eastAsia" w:ascii="Times New Roman" w:hAnsi="Times New Roman" w:eastAsia="黑体" w:cs="黑体"/>
          <w:kern w:val="0"/>
          <w:sz w:val="30"/>
          <w:szCs w:val="30"/>
        </w:rPr>
        <w:t>三公</w:t>
      </w:r>
      <w:r>
        <w:rPr>
          <w:rFonts w:ascii="Times New Roman" w:hAnsi="Times New Roman" w:eastAsia="黑体" w:cs="黑体"/>
          <w:kern w:val="0"/>
          <w:sz w:val="30"/>
          <w:szCs w:val="30"/>
        </w:rPr>
        <w:t>”</w:t>
      </w:r>
      <w:r>
        <w:rPr>
          <w:rFonts w:hint="eastAsia" w:ascii="Times New Roman" w:hAnsi="Times New Roman" w:eastAsia="黑体" w:cs="黑体"/>
          <w:kern w:val="0"/>
          <w:sz w:val="30"/>
          <w:szCs w:val="30"/>
        </w:rPr>
        <w:t>经费支出决算表》</w:t>
      </w:r>
    </w:p>
    <w:p w14:paraId="63CD50E6">
      <w:pPr>
        <w:keepNext/>
        <w:keepLines/>
        <w:autoSpaceDE w:val="0"/>
        <w:autoSpaceDN w:val="0"/>
        <w:adjustRightInd w:val="0"/>
        <w:spacing w:line="800" w:lineRule="exact"/>
        <w:ind w:firstLine="600"/>
        <w:jc w:val="left"/>
        <w:outlineLvl w:val="1"/>
        <w:rPr>
          <w:rFonts w:ascii="Times New Roman" w:hAnsi="Times New Roman" w:eastAsia="黑体" w:cs="黑体"/>
          <w:kern w:val="0"/>
          <w:sz w:val="30"/>
          <w:szCs w:val="30"/>
        </w:rPr>
      </w:pPr>
      <w:r>
        <w:rPr>
          <w:rFonts w:hint="eastAsia" w:ascii="Times New Roman" w:hAnsi="Times New Roman" w:eastAsia="黑体" w:cs="黑体"/>
          <w:kern w:val="0"/>
          <w:sz w:val="30"/>
          <w:szCs w:val="30"/>
        </w:rPr>
        <w:t>十一、《项目支出决算表》</w:t>
      </w:r>
    </w:p>
    <w:p w14:paraId="697EE4FE">
      <w:pPr>
        <w:autoSpaceDE w:val="0"/>
        <w:autoSpaceDN w:val="0"/>
        <w:adjustRightInd w:val="0"/>
        <w:spacing w:line="800" w:lineRule="exact"/>
        <w:jc w:val="left"/>
        <w:rPr>
          <w:rFonts w:ascii="Times New Roman" w:hAnsi="Times New Roman" w:eastAsia="楷体" w:cs="楷体"/>
          <w:kern w:val="0"/>
          <w:sz w:val="30"/>
          <w:szCs w:val="30"/>
        </w:rPr>
      </w:pPr>
      <w:r>
        <w:rPr>
          <w:rFonts w:hint="eastAsia" w:ascii="Times New Roman" w:hAnsi="Times New Roman" w:eastAsia="楷体" w:cs="楷体"/>
          <w:kern w:val="0"/>
          <w:sz w:val="30"/>
          <w:szCs w:val="30"/>
        </w:rPr>
        <w:t>注：以上决算公开表均作为附表，附于决算公开说明文档后。</w:t>
      </w:r>
    </w:p>
    <w:p w14:paraId="636DBC98">
      <w:pPr>
        <w:autoSpaceDE w:val="0"/>
        <w:autoSpaceDN w:val="0"/>
        <w:adjustRightInd w:val="0"/>
        <w:spacing w:line="600" w:lineRule="exact"/>
        <w:jc w:val="left"/>
        <w:rPr>
          <w:rFonts w:ascii="Times New Roman" w:hAnsi="Times New Roman" w:eastAsia="黑体" w:cs="黑体"/>
          <w:b/>
          <w:bCs/>
          <w:kern w:val="0"/>
          <w:sz w:val="30"/>
          <w:szCs w:val="30"/>
        </w:rPr>
      </w:pPr>
      <w:r>
        <w:rPr>
          <w:rFonts w:ascii="Times New Roman" w:hAnsi="Times New Roman" w:eastAsia="楷体" w:cs="Times New Roman"/>
          <w:kern w:val="0"/>
          <w:sz w:val="24"/>
          <w:szCs w:val="24"/>
        </w:rPr>
        <w:br w:type="page"/>
      </w:r>
      <w:r>
        <w:rPr>
          <w:rFonts w:hint="eastAsia" w:ascii="Times New Roman" w:hAnsi="Times New Roman" w:eastAsia="黑体" w:cs="黑体"/>
          <w:b/>
          <w:bCs/>
          <w:kern w:val="0"/>
          <w:sz w:val="30"/>
          <w:szCs w:val="30"/>
        </w:rPr>
        <w:t>十二、关于空表的说明</w:t>
      </w:r>
    </w:p>
    <w:p w14:paraId="79B9FC61">
      <w:pPr>
        <w:autoSpaceDE w:val="0"/>
        <w:autoSpaceDN w:val="0"/>
        <w:adjustRightInd w:val="0"/>
        <w:spacing w:line="600" w:lineRule="exact"/>
        <w:ind w:firstLine="601"/>
        <w:jc w:val="left"/>
        <w:rPr>
          <w:rFonts w:ascii="Times New Roman" w:hAnsi="Times New Roman" w:eastAsia="仿宋_GB2312" w:cs="仿宋_GB2312"/>
          <w:sz w:val="30"/>
          <w:szCs w:val="30"/>
        </w:rPr>
      </w:pPr>
      <w:r>
        <w:rPr>
          <w:rFonts w:hint="eastAsia" w:ascii="Times New Roman" w:hAnsi="Times New Roman" w:eastAsia="仿宋_GB2312" w:cs="仿宋_GB2312"/>
          <w:sz w:val="30"/>
          <w:szCs w:val="30"/>
        </w:rPr>
        <w:t>1、天津市宝坻区民政综合服务中心2023年度国有资本经营预算财政拨款收入支出决算表为空表。</w:t>
      </w:r>
      <w:r>
        <w:rPr>
          <w:rFonts w:hint="eastAsia" w:ascii="Times New Roman" w:hAnsi="Times New Roman" w:eastAsia="仿宋_GB2312" w:cs="仿宋_GB2312"/>
          <w:sz w:val="30"/>
          <w:szCs w:val="30"/>
        </w:rPr>
        <w:br w:type="textWrapping"/>
      </w:r>
      <w:r>
        <w:rPr>
          <w:rFonts w:hint="eastAsia" w:ascii="Times New Roman" w:hAnsi="Times New Roman" w:eastAsia="仿宋_GB2312" w:cs="仿宋_GB2312"/>
          <w:sz w:val="30"/>
          <w:szCs w:val="30"/>
        </w:rPr>
        <w:t xml:space="preserve">    2、天津市宝坻区民政综合服务中心2023年度一般公共预算财政拨款“三公”经费支出决算表为空表。</w:t>
      </w:r>
    </w:p>
    <w:p w14:paraId="0E8E70E1">
      <w:pPr>
        <w:autoSpaceDE w:val="0"/>
        <w:autoSpaceDN w:val="0"/>
        <w:adjustRightInd w:val="0"/>
        <w:spacing w:line="600" w:lineRule="exact"/>
        <w:ind w:firstLine="601"/>
        <w:jc w:val="left"/>
        <w:rPr>
          <w:rFonts w:ascii="Times New Roman" w:hAnsi="Times New Roman" w:eastAsia="仿宋_GB2312" w:cs="仿宋_GB2312"/>
          <w:sz w:val="30"/>
          <w:szCs w:val="30"/>
        </w:rPr>
      </w:pPr>
    </w:p>
    <w:p w14:paraId="7304D15C">
      <w:pPr>
        <w:keepNext/>
        <w:keepLines/>
        <w:autoSpaceDE w:val="0"/>
        <w:autoSpaceDN w:val="0"/>
        <w:adjustRightInd w:val="0"/>
        <w:spacing w:line="600" w:lineRule="exact"/>
        <w:ind w:firstLine="600"/>
        <w:jc w:val="left"/>
        <w:outlineLvl w:val="1"/>
        <w:rPr>
          <w:rFonts w:ascii="Times New Roman" w:hAnsi="Times New Roman" w:eastAsia="方正小标宋简体" w:cs="方正小标宋简体"/>
          <w:kern w:val="44"/>
          <w:sz w:val="44"/>
          <w:szCs w:val="44"/>
        </w:rPr>
      </w:pPr>
      <w:r>
        <w:rPr>
          <w:rFonts w:hint="eastAsia" w:ascii="Times New Roman" w:hAnsi="Times New Roman" w:eastAsia="方正小标宋简体" w:cs="方正小标宋简体"/>
          <w:kern w:val="44"/>
          <w:sz w:val="44"/>
          <w:szCs w:val="44"/>
        </w:rPr>
        <w:t>第三部分2023年度部门决算情况说明</w:t>
      </w:r>
    </w:p>
    <w:p w14:paraId="012E6F40">
      <w:pPr>
        <w:autoSpaceDE w:val="0"/>
        <w:autoSpaceDN w:val="0"/>
        <w:adjustRightInd w:val="0"/>
        <w:spacing w:line="580" w:lineRule="exact"/>
        <w:ind w:firstLine="600"/>
        <w:jc w:val="left"/>
        <w:rPr>
          <w:rFonts w:ascii="Times New Roman" w:hAnsi="Times New Roman" w:eastAsia="黑体" w:cs="黑体"/>
          <w:sz w:val="30"/>
          <w:szCs w:val="30"/>
          <w:lang w:val="zh-CN"/>
        </w:rPr>
      </w:pPr>
    </w:p>
    <w:p w14:paraId="0631D426">
      <w:pPr>
        <w:keepNext/>
        <w:keepLines/>
        <w:autoSpaceDE w:val="0"/>
        <w:autoSpaceDN w:val="0"/>
        <w:adjustRightInd w:val="0"/>
        <w:spacing w:line="600" w:lineRule="exact"/>
        <w:ind w:firstLine="602"/>
        <w:jc w:val="left"/>
        <w:outlineLvl w:val="1"/>
        <w:rPr>
          <w:rFonts w:ascii="Times New Roman" w:hAnsi="Times New Roman" w:eastAsia="黑体" w:cs="黑体"/>
          <w:b/>
          <w:bCs/>
          <w:kern w:val="0"/>
          <w:sz w:val="30"/>
          <w:szCs w:val="30"/>
          <w:lang w:val="zh-CN"/>
        </w:rPr>
      </w:pPr>
      <w:r>
        <w:rPr>
          <w:rFonts w:hint="eastAsia" w:ascii="Times New Roman" w:hAnsi="Times New Roman" w:eastAsia="黑体" w:cs="黑体"/>
          <w:b/>
          <w:bCs/>
          <w:kern w:val="0"/>
          <w:sz w:val="30"/>
          <w:szCs w:val="30"/>
          <w:lang w:val="zh-CN"/>
        </w:rPr>
        <w:t>一、收入支出决算总体情况说明</w:t>
      </w:r>
    </w:p>
    <w:p w14:paraId="7DD465DE">
      <w:pPr>
        <w:autoSpaceDE w:val="0"/>
        <w:autoSpaceDN w:val="0"/>
        <w:adjustRightInd w:val="0"/>
        <w:spacing w:line="600" w:lineRule="exact"/>
        <w:ind w:firstLine="600"/>
        <w:jc w:val="left"/>
        <w:rPr>
          <w:rFonts w:ascii="Times New Roman" w:hAnsi="Times New Roman" w:eastAsia="仿宋_GB2312" w:cs="仿宋_GB2312"/>
          <w:sz w:val="30"/>
          <w:szCs w:val="30"/>
        </w:rPr>
      </w:pPr>
      <w:r>
        <w:rPr>
          <w:rFonts w:hint="eastAsia" w:ascii="Times New Roman" w:hAnsi="Times New Roman" w:eastAsia="仿宋_GB2312" w:cs="仿宋_GB2312"/>
          <w:sz w:val="30"/>
          <w:szCs w:val="30"/>
          <w:lang w:val="zh-CN"/>
        </w:rPr>
        <w:t>天津市宝坻区民政综合服务中心2023年度收入、支出决算总计</w:t>
      </w:r>
      <w:r>
        <w:rPr>
          <w:rFonts w:hint="eastAsia" w:ascii="Times New Roman" w:hAnsi="Times New Roman" w:eastAsia="仿宋_GB2312" w:cs="仿宋_GB2312"/>
          <w:sz w:val="30"/>
          <w:szCs w:val="30"/>
        </w:rPr>
        <w:t>19,662,550.97元，与2022年度相比，收、支总计各增加18,093,140.21元，增长1152.86%，</w:t>
      </w:r>
      <w:r>
        <w:rPr>
          <w:rFonts w:hint="eastAsia" w:ascii="Times New Roman" w:hAnsi="Times New Roman" w:eastAsia="仿宋_GB2312" w:cs="仿宋_GB2312"/>
          <w:sz w:val="30"/>
          <w:szCs w:val="30"/>
          <w:lang w:val="zh-CN"/>
        </w:rPr>
        <w:t>主要原因是</w:t>
      </w:r>
      <w:r>
        <w:rPr>
          <w:rFonts w:hint="eastAsia" w:ascii="Times New Roman" w:hAnsi="Times New Roman" w:eastAsia="仿宋_GB2312" w:cs="仿宋_GB2312"/>
          <w:sz w:val="30"/>
          <w:szCs w:val="30"/>
        </w:rPr>
        <w:t>：按规定将以往年度往来款列入收支。</w:t>
      </w:r>
    </w:p>
    <w:p w14:paraId="7B100AF2">
      <w:pPr>
        <w:autoSpaceDE w:val="0"/>
        <w:autoSpaceDN w:val="0"/>
        <w:adjustRightInd w:val="0"/>
        <w:spacing w:line="600" w:lineRule="exact"/>
        <w:ind w:firstLine="600"/>
        <w:jc w:val="left"/>
        <w:rPr>
          <w:rFonts w:ascii="Times New Roman" w:hAnsi="Times New Roman" w:eastAsia="黑体" w:cs="黑体"/>
          <w:b/>
          <w:bCs/>
          <w:kern w:val="0"/>
          <w:sz w:val="30"/>
          <w:szCs w:val="30"/>
        </w:rPr>
      </w:pPr>
      <w:r>
        <w:rPr>
          <w:rFonts w:hint="eastAsia" w:ascii="Times New Roman" w:hAnsi="Times New Roman" w:eastAsia="黑体" w:cs="黑体"/>
          <w:b/>
          <w:bCs/>
          <w:kern w:val="0"/>
          <w:sz w:val="30"/>
          <w:szCs w:val="30"/>
          <w:lang w:val="zh-CN"/>
        </w:rPr>
        <w:t>二、</w:t>
      </w:r>
      <w:r>
        <w:rPr>
          <w:rFonts w:hint="eastAsia" w:ascii="Times New Roman" w:hAnsi="Times New Roman" w:eastAsia="黑体" w:cs="黑体"/>
          <w:b/>
          <w:bCs/>
          <w:kern w:val="0"/>
          <w:sz w:val="30"/>
          <w:szCs w:val="30"/>
        </w:rPr>
        <w:t>收入决算情况</w:t>
      </w:r>
      <w:r>
        <w:rPr>
          <w:rFonts w:hint="eastAsia" w:ascii="Times New Roman" w:hAnsi="Times New Roman" w:eastAsia="黑体" w:cs="黑体"/>
          <w:b/>
          <w:bCs/>
          <w:kern w:val="0"/>
          <w:sz w:val="30"/>
          <w:szCs w:val="30"/>
          <w:lang w:val="zh-CN"/>
        </w:rPr>
        <w:t>说明</w:t>
      </w:r>
    </w:p>
    <w:p w14:paraId="3FEFE49B">
      <w:pPr>
        <w:autoSpaceDE w:val="0"/>
        <w:autoSpaceDN w:val="0"/>
        <w:adjustRightInd w:val="0"/>
        <w:spacing w:line="600" w:lineRule="exact"/>
        <w:ind w:firstLine="600"/>
        <w:rPr>
          <w:rFonts w:ascii="Times New Roman" w:hAnsi="Times New Roman" w:eastAsia="仿宋_GB2312" w:cs="仿宋_GB2312"/>
          <w:sz w:val="30"/>
          <w:szCs w:val="30"/>
        </w:rPr>
      </w:pPr>
      <w:r>
        <w:rPr>
          <w:rFonts w:hint="eastAsia" w:ascii="Times New Roman" w:hAnsi="Times New Roman" w:eastAsia="仿宋_GB2312" w:cs="仿宋_GB2312"/>
          <w:sz w:val="30"/>
          <w:szCs w:val="30"/>
        </w:rPr>
        <w:t>天津市宝坻区民政综合服务中心</w:t>
      </w:r>
      <w:r>
        <w:rPr>
          <w:rFonts w:hint="eastAsia" w:ascii="Times New Roman" w:hAnsi="Times New Roman" w:eastAsia="仿宋_GB2312" w:cs="Times New Roman"/>
          <w:sz w:val="30"/>
          <w:szCs w:val="30"/>
        </w:rPr>
        <w:t>2023</w:t>
      </w:r>
      <w:r>
        <w:rPr>
          <w:rFonts w:hint="eastAsia" w:ascii="Times New Roman" w:hAnsi="Times New Roman" w:eastAsia="仿宋_GB2312" w:cs="仿宋_GB2312"/>
          <w:sz w:val="30"/>
          <w:szCs w:val="30"/>
          <w:lang w:val="zh-CN"/>
        </w:rPr>
        <w:t>年度本年收入合计</w:t>
      </w:r>
      <w:r>
        <w:rPr>
          <w:rFonts w:hint="eastAsia" w:ascii="Times New Roman" w:hAnsi="Times New Roman" w:eastAsia="仿宋_GB2312" w:cs="Times New Roman"/>
          <w:sz w:val="30"/>
          <w:szCs w:val="30"/>
        </w:rPr>
        <w:t>19,662,550.97</w:t>
      </w:r>
      <w:r>
        <w:rPr>
          <w:rFonts w:hint="eastAsia" w:ascii="Times New Roman" w:hAnsi="Times New Roman" w:eastAsia="仿宋_GB2312" w:cs="仿宋_GB2312"/>
          <w:sz w:val="30"/>
          <w:szCs w:val="30"/>
        </w:rPr>
        <w:t>元，与</w:t>
      </w:r>
      <w:r>
        <w:rPr>
          <w:rFonts w:hint="eastAsia" w:ascii="Times New Roman" w:hAnsi="Times New Roman" w:eastAsia="仿宋_GB2312" w:cs="Times New Roman"/>
          <w:sz w:val="30"/>
          <w:szCs w:val="30"/>
        </w:rPr>
        <w:t>2022</w:t>
      </w:r>
      <w:r>
        <w:rPr>
          <w:rFonts w:hint="eastAsia" w:ascii="Times New Roman" w:hAnsi="Times New Roman" w:eastAsia="仿宋_GB2312" w:cs="仿宋_GB2312"/>
          <w:sz w:val="30"/>
          <w:szCs w:val="30"/>
        </w:rPr>
        <w:t>年度相比增加18,093,173.10元，</w:t>
      </w:r>
      <w:r>
        <w:rPr>
          <w:rFonts w:hint="eastAsia" w:ascii="Times New Roman" w:hAnsi="Times New Roman" w:eastAsia="仿宋_GB2312" w:cs="仿宋_GB2312"/>
          <w:kern w:val="0"/>
          <w:sz w:val="30"/>
          <w:szCs w:val="30"/>
          <w:lang w:val="zh-CN"/>
        </w:rPr>
        <w:t>主要原因是</w:t>
      </w:r>
      <w:r>
        <w:rPr>
          <w:rFonts w:hint="eastAsia" w:ascii="Times New Roman" w:hAnsi="Times New Roman" w:eastAsia="仿宋_GB2312" w:cs="仿宋_GB2312"/>
          <w:kern w:val="0"/>
          <w:sz w:val="30"/>
          <w:szCs w:val="30"/>
        </w:rPr>
        <w:t>：</w:t>
      </w:r>
      <w:r>
        <w:rPr>
          <w:rFonts w:hint="eastAsia" w:ascii="Times New Roman" w:hAnsi="Times New Roman" w:eastAsia="仿宋_GB2312" w:cs="仿宋_GB2312"/>
          <w:sz w:val="30"/>
          <w:szCs w:val="30"/>
        </w:rPr>
        <w:t>按规定将以往年度往来款列入收支。</w:t>
      </w:r>
    </w:p>
    <w:p w14:paraId="5F552C47">
      <w:pPr>
        <w:autoSpaceDE w:val="0"/>
        <w:autoSpaceDN w:val="0"/>
        <w:adjustRightInd w:val="0"/>
        <w:spacing w:line="600" w:lineRule="exact"/>
        <w:ind w:firstLine="600" w:firstLineChars="200"/>
        <w:jc w:val="left"/>
        <w:rPr>
          <w:rFonts w:ascii="Times New Roman" w:hAnsi="Times New Roman" w:eastAsia="宋体" w:cs="Times New Roman"/>
          <w:sz w:val="30"/>
          <w:szCs w:val="30"/>
        </w:rPr>
      </w:pPr>
      <w:r>
        <w:rPr>
          <w:rFonts w:hint="eastAsia" w:ascii="Times New Roman" w:hAnsi="Times New Roman" w:eastAsia="仿宋_GB2312" w:cs="仿宋_GB2312"/>
          <w:sz w:val="30"/>
          <w:szCs w:val="30"/>
        </w:rPr>
        <w:t>其中：</w:t>
      </w:r>
      <w:r>
        <w:rPr>
          <w:rFonts w:ascii="Times New Roman" w:hAnsi="Times New Roman" w:eastAsia="仿宋_GB2312" w:cs="仿宋_GB2312"/>
          <w:sz w:val="30"/>
          <w:szCs w:val="30"/>
          <w:lang w:val="zh-CN"/>
        </w:rPr>
        <w:t>一般公共预算财政拨款收入</w:t>
      </w:r>
      <w:r>
        <w:rPr>
          <w:rFonts w:hint="eastAsia" w:ascii="Times New Roman" w:hAnsi="Times New Roman" w:eastAsia="仿宋_GB2312" w:cs="Times New Roman"/>
          <w:sz w:val="30"/>
          <w:szCs w:val="30"/>
        </w:rPr>
        <w:t>11,262,550.97</w:t>
      </w:r>
      <w:r>
        <w:rPr>
          <w:rFonts w:hint="eastAsia" w:ascii="Times New Roman" w:hAnsi="Times New Roman" w:eastAsia="仿宋_GB2312" w:cs="仿宋_GB2312"/>
          <w:sz w:val="30"/>
          <w:szCs w:val="30"/>
          <w:lang w:val="zh-CN"/>
        </w:rPr>
        <w:t>元</w:t>
      </w:r>
      <w:r>
        <w:rPr>
          <w:rFonts w:ascii="Times New Roman" w:hAnsi="Times New Roman" w:eastAsia="仿宋_GB2312" w:cs="仿宋_GB2312"/>
          <w:sz w:val="30"/>
          <w:szCs w:val="30"/>
          <w:lang w:val="zh-CN"/>
        </w:rPr>
        <w:t>，占</w:t>
      </w:r>
      <w:r>
        <w:rPr>
          <w:rFonts w:hint="eastAsia" w:ascii="Times New Roman" w:hAnsi="Times New Roman" w:eastAsia="仿宋_GB2312" w:cs="Times New Roman"/>
          <w:sz w:val="30"/>
          <w:szCs w:val="30"/>
        </w:rPr>
        <w:t>57.28</w:t>
      </w:r>
      <w:r>
        <w:rPr>
          <w:rFonts w:hint="eastAsia" w:ascii="Times New Roman" w:hAnsi="Times New Roman" w:eastAsia="宋体" w:cs="Times New Roman"/>
          <w:sz w:val="30"/>
          <w:szCs w:val="30"/>
        </w:rPr>
        <w:t>%；</w:t>
      </w:r>
    </w:p>
    <w:p w14:paraId="6FCF34C5">
      <w:pPr>
        <w:autoSpaceDE w:val="0"/>
        <w:autoSpaceDN w:val="0"/>
        <w:adjustRightInd w:val="0"/>
        <w:spacing w:line="600" w:lineRule="exact"/>
        <w:ind w:firstLine="600" w:firstLineChars="200"/>
        <w:jc w:val="left"/>
        <w:rPr>
          <w:rFonts w:hint="eastAsia" w:ascii="Times New Roman" w:hAnsi="Times New Roman" w:eastAsia="仿宋_GB2312" w:cs="仿宋_GB2312"/>
          <w:sz w:val="30"/>
          <w:szCs w:val="30"/>
          <w:lang w:val="en-US" w:eastAsia="zh-CN"/>
        </w:rPr>
      </w:pPr>
      <w:r>
        <w:rPr>
          <w:rFonts w:ascii="Times New Roman" w:hAnsi="Times New Roman" w:eastAsia="仿宋_GB2312" w:cs="仿宋_GB2312"/>
          <w:sz w:val="30"/>
          <w:szCs w:val="30"/>
          <w:lang w:val="zh-CN"/>
        </w:rPr>
        <w:t>政府性基金预算财政拨款收入</w:t>
      </w:r>
      <w:r>
        <w:rPr>
          <w:rFonts w:hint="eastAsia" w:ascii="Times New Roman" w:hAnsi="Times New Roman" w:eastAsia="仿宋_GB2312" w:cs="仿宋_GB2312"/>
          <w:sz w:val="30"/>
          <w:szCs w:val="30"/>
          <w:lang w:val="zh-CN"/>
        </w:rPr>
        <w:t>8,400,000.00元</w:t>
      </w:r>
      <w:r>
        <w:rPr>
          <w:rFonts w:ascii="Times New Roman" w:hAnsi="Times New Roman" w:eastAsia="仿宋_GB2312" w:cs="仿宋_GB2312"/>
          <w:sz w:val="30"/>
          <w:szCs w:val="30"/>
          <w:lang w:val="zh-CN"/>
        </w:rPr>
        <w:t>，</w:t>
      </w:r>
      <w:r>
        <w:rPr>
          <w:rFonts w:hint="eastAsia" w:ascii="Times New Roman" w:hAnsi="Times New Roman" w:eastAsia="仿宋_GB2312" w:cs="仿宋_GB2312"/>
          <w:kern w:val="0"/>
          <w:sz w:val="30"/>
          <w:szCs w:val="30"/>
        </w:rPr>
        <w:t>占</w:t>
      </w:r>
      <w:r>
        <w:rPr>
          <w:rFonts w:hint="eastAsia" w:ascii="Times New Roman" w:hAnsi="Times New Roman" w:eastAsia="仿宋_GB2312" w:cs="仿宋_GB2312"/>
          <w:sz w:val="30"/>
          <w:szCs w:val="30"/>
          <w:lang w:val="zh-CN"/>
        </w:rPr>
        <w:t>42.72%</w:t>
      </w:r>
      <w:r>
        <w:rPr>
          <w:rFonts w:hint="eastAsia" w:ascii="Times New Roman" w:hAnsi="Times New Roman" w:eastAsia="仿宋_GB2312" w:cs="仿宋_GB2312"/>
          <w:sz w:val="30"/>
          <w:szCs w:val="30"/>
          <w:lang w:val="zh-CN" w:eastAsia="zh-CN"/>
        </w:rPr>
        <w:t>。</w:t>
      </w:r>
    </w:p>
    <w:p w14:paraId="311E68F6">
      <w:pPr>
        <w:keepNext/>
        <w:keepLines/>
        <w:autoSpaceDE w:val="0"/>
        <w:autoSpaceDN w:val="0"/>
        <w:adjustRightInd w:val="0"/>
        <w:spacing w:line="600" w:lineRule="exact"/>
        <w:ind w:firstLine="602"/>
        <w:jc w:val="left"/>
        <w:outlineLvl w:val="1"/>
        <w:rPr>
          <w:rFonts w:ascii="Times New Roman" w:hAnsi="Times New Roman" w:eastAsia="黑体" w:cs="黑体"/>
          <w:b/>
          <w:bCs/>
          <w:kern w:val="0"/>
          <w:sz w:val="30"/>
          <w:szCs w:val="30"/>
        </w:rPr>
      </w:pPr>
      <w:r>
        <w:rPr>
          <w:rFonts w:hint="eastAsia" w:ascii="Times New Roman" w:hAnsi="Times New Roman" w:eastAsia="黑体" w:cs="黑体"/>
          <w:b/>
          <w:bCs/>
          <w:kern w:val="0"/>
          <w:sz w:val="30"/>
          <w:szCs w:val="30"/>
          <w:lang w:val="zh-CN"/>
        </w:rPr>
        <w:t>三、支出</w:t>
      </w:r>
      <w:r>
        <w:rPr>
          <w:rFonts w:hint="eastAsia" w:ascii="Times New Roman" w:hAnsi="Times New Roman" w:eastAsia="黑体" w:cs="黑体"/>
          <w:b/>
          <w:bCs/>
          <w:kern w:val="0"/>
          <w:sz w:val="30"/>
          <w:szCs w:val="30"/>
        </w:rPr>
        <w:t>决算情况说明</w:t>
      </w:r>
    </w:p>
    <w:p w14:paraId="6D284E36">
      <w:pPr>
        <w:autoSpaceDE w:val="0"/>
        <w:autoSpaceDN w:val="0"/>
        <w:adjustRightInd w:val="0"/>
        <w:spacing w:line="600" w:lineRule="exact"/>
        <w:ind w:firstLine="600"/>
        <w:rPr>
          <w:rFonts w:ascii="Times New Roman" w:hAnsi="Times New Roman" w:eastAsia="仿宋_GB2312" w:cs="仿宋_GB2312"/>
          <w:sz w:val="30"/>
          <w:szCs w:val="30"/>
        </w:rPr>
      </w:pPr>
      <w:r>
        <w:rPr>
          <w:rFonts w:hint="eastAsia" w:ascii="Times New Roman" w:hAnsi="Times New Roman" w:eastAsia="仿宋_GB2312" w:cs="仿宋_GB2312"/>
          <w:sz w:val="30"/>
          <w:szCs w:val="30"/>
        </w:rPr>
        <w:t>天津市宝坻区民政综合服务中心</w:t>
      </w:r>
      <w:r>
        <w:rPr>
          <w:rFonts w:hint="eastAsia" w:ascii="Times New Roman" w:hAnsi="Times New Roman" w:eastAsia="宋体" w:cs="宋体"/>
          <w:sz w:val="30"/>
          <w:szCs w:val="30"/>
        </w:rPr>
        <w:t>2023</w:t>
      </w:r>
      <w:r>
        <w:rPr>
          <w:rFonts w:hint="eastAsia" w:ascii="Times New Roman" w:hAnsi="Times New Roman" w:eastAsia="仿宋_GB2312" w:cs="仿宋_GB2312"/>
          <w:sz w:val="30"/>
          <w:szCs w:val="30"/>
        </w:rPr>
        <w:t>年度本年支出合计19,662,143.43元，与</w:t>
      </w:r>
      <w:r>
        <w:rPr>
          <w:rFonts w:hint="eastAsia" w:ascii="Times New Roman" w:hAnsi="Times New Roman" w:eastAsia="仿宋_GB2312" w:cs="Times New Roman"/>
          <w:sz w:val="30"/>
          <w:szCs w:val="30"/>
        </w:rPr>
        <w:t>2022</w:t>
      </w:r>
      <w:r>
        <w:rPr>
          <w:rFonts w:hint="eastAsia" w:ascii="Times New Roman" w:hAnsi="Times New Roman" w:eastAsia="仿宋_GB2312" w:cs="仿宋_GB2312"/>
          <w:sz w:val="30"/>
          <w:szCs w:val="30"/>
        </w:rPr>
        <w:t>年度相比增加18,092,732.67元，</w:t>
      </w:r>
      <w:r>
        <w:rPr>
          <w:rFonts w:hint="eastAsia" w:ascii="Times New Roman" w:hAnsi="Times New Roman" w:eastAsia="仿宋_GB2312" w:cs="仿宋_GB2312"/>
          <w:sz w:val="30"/>
          <w:szCs w:val="30"/>
          <w:lang w:val="zh-CN"/>
        </w:rPr>
        <w:t>主要原因是</w:t>
      </w:r>
      <w:r>
        <w:rPr>
          <w:rFonts w:hint="eastAsia" w:ascii="Times New Roman" w:hAnsi="Times New Roman" w:eastAsia="仿宋_GB2312" w:cs="仿宋_GB2312"/>
          <w:sz w:val="30"/>
          <w:szCs w:val="30"/>
        </w:rPr>
        <w:t>：按规定将以往年度往来款列入收支。</w:t>
      </w:r>
    </w:p>
    <w:p w14:paraId="2577C9AF">
      <w:pPr>
        <w:autoSpaceDE w:val="0"/>
        <w:autoSpaceDN w:val="0"/>
        <w:adjustRightInd w:val="0"/>
        <w:spacing w:line="580" w:lineRule="exact"/>
        <w:ind w:firstLine="600"/>
        <w:jc w:val="left"/>
        <w:rPr>
          <w:rFonts w:ascii="Times New Roman" w:hAnsi="Times New Roman" w:eastAsia="仿宋_GB2312" w:cs="仿宋_GB2312"/>
          <w:sz w:val="30"/>
          <w:szCs w:val="30"/>
        </w:rPr>
      </w:pPr>
      <w:r>
        <w:rPr>
          <w:rFonts w:hint="eastAsia" w:ascii="Times New Roman" w:hAnsi="Times New Roman" w:eastAsia="仿宋_GB2312" w:cs="仿宋_GB2312"/>
          <w:sz w:val="30"/>
          <w:szCs w:val="30"/>
        </w:rPr>
        <w:t>其中：</w:t>
      </w:r>
      <w:r>
        <w:rPr>
          <w:rFonts w:ascii="Times New Roman" w:hAnsi="Times New Roman" w:eastAsia="仿宋_GB2312" w:cs="仿宋_GB2312"/>
          <w:sz w:val="30"/>
          <w:szCs w:val="30"/>
        </w:rPr>
        <w:t>基本支出</w:t>
      </w:r>
      <w:r>
        <w:rPr>
          <w:rFonts w:hint="eastAsia" w:ascii="Times New Roman" w:hAnsi="Times New Roman" w:eastAsia="仿宋_GB2312" w:cs="仿宋_GB2312"/>
          <w:sz w:val="30"/>
          <w:szCs w:val="30"/>
        </w:rPr>
        <w:t>3,245,563.43元</w:t>
      </w:r>
      <w:r>
        <w:rPr>
          <w:rFonts w:ascii="Times New Roman" w:hAnsi="Times New Roman" w:eastAsia="仿宋_GB2312" w:cs="仿宋_GB2312"/>
          <w:sz w:val="30"/>
          <w:szCs w:val="30"/>
        </w:rPr>
        <w:t>，</w:t>
      </w:r>
      <w:r>
        <w:rPr>
          <w:rFonts w:hint="eastAsia" w:ascii="Times New Roman" w:hAnsi="Times New Roman" w:eastAsia="仿宋_GB2312" w:cs="仿宋_GB2312"/>
          <w:sz w:val="30"/>
          <w:szCs w:val="30"/>
        </w:rPr>
        <w:t>占16.51%；</w:t>
      </w:r>
    </w:p>
    <w:p w14:paraId="260F2245">
      <w:pPr>
        <w:autoSpaceDE w:val="0"/>
        <w:autoSpaceDN w:val="0"/>
        <w:adjustRightInd w:val="0"/>
        <w:spacing w:line="580" w:lineRule="exact"/>
        <w:ind w:firstLine="600"/>
        <w:jc w:val="left"/>
        <w:rPr>
          <w:rFonts w:ascii="Times New Roman" w:hAnsi="Times New Roman" w:eastAsia="黑体" w:cs="黑体"/>
          <w:sz w:val="30"/>
          <w:szCs w:val="30"/>
          <w:lang w:val="zh-CN"/>
        </w:rPr>
      </w:pPr>
      <w:r>
        <w:rPr>
          <w:rFonts w:ascii="Times New Roman" w:hAnsi="Times New Roman" w:eastAsia="仿宋_GB2312" w:cs="仿宋_GB2312"/>
          <w:sz w:val="30"/>
          <w:szCs w:val="30"/>
        </w:rPr>
        <w:t>项目支出</w:t>
      </w:r>
      <w:r>
        <w:rPr>
          <w:rFonts w:hint="eastAsia" w:ascii="Times New Roman" w:hAnsi="Times New Roman" w:eastAsia="仿宋_GB2312" w:cs="仿宋_GB2312"/>
          <w:sz w:val="30"/>
          <w:szCs w:val="30"/>
        </w:rPr>
        <w:t>16,416,580.00元</w:t>
      </w:r>
      <w:r>
        <w:rPr>
          <w:rFonts w:ascii="Times New Roman" w:hAnsi="Times New Roman" w:eastAsia="仿宋_GB2312" w:cs="仿宋_GB2312"/>
          <w:sz w:val="30"/>
          <w:szCs w:val="30"/>
        </w:rPr>
        <w:t>，</w:t>
      </w:r>
      <w:r>
        <w:rPr>
          <w:rFonts w:hint="eastAsia" w:ascii="Times New Roman" w:hAnsi="Times New Roman" w:eastAsia="仿宋_GB2312" w:cs="仿宋_GB2312"/>
          <w:sz w:val="30"/>
          <w:szCs w:val="30"/>
        </w:rPr>
        <w:t>占83.49%。</w:t>
      </w:r>
    </w:p>
    <w:p w14:paraId="3370B9FC">
      <w:pPr>
        <w:keepNext/>
        <w:keepLines/>
        <w:autoSpaceDE w:val="0"/>
        <w:autoSpaceDN w:val="0"/>
        <w:adjustRightInd w:val="0"/>
        <w:spacing w:line="600" w:lineRule="exact"/>
        <w:ind w:firstLine="602"/>
        <w:jc w:val="left"/>
        <w:outlineLvl w:val="1"/>
        <w:rPr>
          <w:rFonts w:ascii="Times New Roman" w:hAnsi="Times New Roman" w:eastAsia="黑体" w:cs="黑体"/>
          <w:b/>
          <w:bCs/>
          <w:kern w:val="0"/>
          <w:sz w:val="30"/>
          <w:szCs w:val="30"/>
          <w:lang w:val="zh-CN"/>
        </w:rPr>
      </w:pPr>
      <w:r>
        <w:rPr>
          <w:rFonts w:hint="eastAsia" w:ascii="Times New Roman" w:hAnsi="Times New Roman" w:eastAsia="黑体" w:cs="黑体"/>
          <w:b/>
          <w:bCs/>
          <w:kern w:val="0"/>
          <w:sz w:val="30"/>
          <w:szCs w:val="30"/>
          <w:lang w:val="zh-CN"/>
        </w:rPr>
        <w:t>四、财政拨款收支决算总体情况说明</w:t>
      </w:r>
    </w:p>
    <w:p w14:paraId="6AFEA155">
      <w:pPr>
        <w:autoSpaceDE w:val="0"/>
        <w:autoSpaceDN w:val="0"/>
        <w:adjustRightInd w:val="0"/>
        <w:spacing w:line="580" w:lineRule="exact"/>
        <w:ind w:firstLine="600"/>
        <w:jc w:val="left"/>
        <w:rPr>
          <w:rFonts w:ascii="Times New Roman" w:hAnsi="Times New Roman" w:eastAsia="仿宋_GB2312" w:cs="仿宋_GB2312"/>
          <w:sz w:val="30"/>
          <w:szCs w:val="30"/>
        </w:rPr>
      </w:pPr>
      <w:r>
        <w:rPr>
          <w:rFonts w:hint="eastAsia" w:ascii="Times New Roman" w:hAnsi="Times New Roman" w:eastAsia="仿宋_GB2312" w:cs="仿宋_GB2312"/>
          <w:sz w:val="30"/>
          <w:szCs w:val="30"/>
        </w:rPr>
        <w:t>天津市宝坻区民政综合服务中心</w:t>
      </w:r>
      <w:r>
        <w:rPr>
          <w:rFonts w:hint="eastAsia" w:ascii="Times New Roman" w:hAnsi="Times New Roman" w:eastAsia="宋体" w:cs="宋体"/>
          <w:sz w:val="30"/>
          <w:szCs w:val="30"/>
        </w:rPr>
        <w:t>2023</w:t>
      </w:r>
      <w:r>
        <w:rPr>
          <w:rFonts w:hint="eastAsia" w:ascii="Times New Roman" w:hAnsi="Times New Roman" w:eastAsia="仿宋_GB2312" w:cs="仿宋_GB2312"/>
          <w:sz w:val="30"/>
          <w:szCs w:val="30"/>
        </w:rPr>
        <w:t>年度财政拨款收入、支出决算总计</w:t>
      </w:r>
      <w:r>
        <w:rPr>
          <w:rFonts w:hint="eastAsia" w:ascii="Times New Roman" w:hAnsi="Times New Roman" w:eastAsia="仿宋_GB2312" w:cs="Times New Roman"/>
          <w:sz w:val="30"/>
          <w:szCs w:val="30"/>
          <w:lang w:val="zh-CN"/>
        </w:rPr>
        <w:t>19,662,550.97</w:t>
      </w:r>
      <w:r>
        <w:rPr>
          <w:rFonts w:hint="eastAsia" w:ascii="Times New Roman" w:hAnsi="Times New Roman" w:eastAsia="仿宋_GB2312" w:cs="仿宋_GB2312"/>
          <w:sz w:val="30"/>
          <w:szCs w:val="30"/>
        </w:rPr>
        <w:t>元，与</w:t>
      </w:r>
      <w:r>
        <w:rPr>
          <w:rFonts w:hint="eastAsia" w:ascii="Times New Roman" w:hAnsi="Times New Roman" w:eastAsia="仿宋_GB2312" w:cs="Times New Roman"/>
          <w:sz w:val="30"/>
          <w:szCs w:val="30"/>
        </w:rPr>
        <w:t>2022</w:t>
      </w:r>
      <w:r>
        <w:rPr>
          <w:rFonts w:hint="eastAsia" w:ascii="Times New Roman" w:hAnsi="Times New Roman" w:eastAsia="仿宋_GB2312" w:cs="仿宋_GB2312"/>
          <w:sz w:val="30"/>
          <w:szCs w:val="30"/>
        </w:rPr>
        <w:t>年度相比，财政拨款收、支总计各增加18,093,140.21元，增长1152.86</w:t>
      </w:r>
      <w:r>
        <w:rPr>
          <w:rFonts w:hint="eastAsia" w:ascii="Times New Roman" w:hAnsi="Times New Roman" w:eastAsia="仿宋_GB2312" w:cs="Times New Roman"/>
          <w:sz w:val="30"/>
          <w:szCs w:val="30"/>
        </w:rPr>
        <w:t>%</w:t>
      </w:r>
      <w:r>
        <w:rPr>
          <w:rFonts w:hint="eastAsia" w:ascii="Times New Roman" w:hAnsi="Times New Roman" w:eastAsia="仿宋_GB2312" w:cs="仿宋_GB2312"/>
          <w:sz w:val="30"/>
          <w:szCs w:val="30"/>
        </w:rPr>
        <w:t>，</w:t>
      </w:r>
      <w:r>
        <w:rPr>
          <w:rFonts w:hint="eastAsia" w:ascii="Times New Roman" w:hAnsi="Times New Roman" w:eastAsia="仿宋_GB2312" w:cs="仿宋_GB2312"/>
          <w:sz w:val="30"/>
          <w:szCs w:val="30"/>
          <w:lang w:val="zh-CN"/>
        </w:rPr>
        <w:t>主要原因是：</w:t>
      </w:r>
      <w:r>
        <w:rPr>
          <w:rFonts w:hint="eastAsia" w:ascii="Times New Roman" w:hAnsi="Times New Roman" w:eastAsia="仿宋_GB2312" w:cs="仿宋_GB2312"/>
          <w:sz w:val="30"/>
          <w:szCs w:val="30"/>
        </w:rPr>
        <w:t>按规定将以往年度往来款列入收支。</w:t>
      </w:r>
    </w:p>
    <w:p w14:paraId="7E9EF3E7">
      <w:pPr>
        <w:keepNext/>
        <w:keepLines/>
        <w:autoSpaceDE w:val="0"/>
        <w:autoSpaceDN w:val="0"/>
        <w:adjustRightInd w:val="0"/>
        <w:spacing w:line="600" w:lineRule="exact"/>
        <w:ind w:firstLine="602"/>
        <w:jc w:val="left"/>
        <w:outlineLvl w:val="1"/>
        <w:rPr>
          <w:rFonts w:ascii="Times New Roman" w:hAnsi="Times New Roman" w:eastAsia="黑体" w:cs="黑体"/>
          <w:b/>
          <w:bCs/>
          <w:kern w:val="0"/>
          <w:sz w:val="30"/>
          <w:szCs w:val="30"/>
          <w:lang w:val="zh-CN"/>
        </w:rPr>
      </w:pPr>
      <w:r>
        <w:rPr>
          <w:rFonts w:hint="eastAsia" w:ascii="Times New Roman" w:hAnsi="Times New Roman" w:eastAsia="黑体" w:cs="黑体"/>
          <w:b/>
          <w:bCs/>
          <w:kern w:val="0"/>
          <w:sz w:val="30"/>
          <w:szCs w:val="30"/>
          <w:lang w:val="zh-CN"/>
        </w:rPr>
        <w:t>五、一般公共预算财政拨款支出决算情况说明</w:t>
      </w:r>
    </w:p>
    <w:p w14:paraId="6646A6D6">
      <w:pPr>
        <w:autoSpaceDE w:val="0"/>
        <w:autoSpaceDN w:val="0"/>
        <w:adjustRightInd w:val="0"/>
        <w:spacing w:line="600" w:lineRule="exact"/>
        <w:ind w:left="480"/>
        <w:jc w:val="left"/>
        <w:rPr>
          <w:rFonts w:ascii="Times New Roman" w:hAnsi="Times New Roman" w:eastAsia="楷体" w:cs="楷体"/>
          <w:b/>
          <w:bCs/>
          <w:kern w:val="0"/>
          <w:sz w:val="30"/>
          <w:szCs w:val="30"/>
        </w:rPr>
      </w:pPr>
      <w:r>
        <w:rPr>
          <w:rFonts w:hint="eastAsia" w:ascii="Times New Roman" w:hAnsi="Times New Roman" w:eastAsia="楷体" w:cs="楷体"/>
          <w:b/>
          <w:bCs/>
          <w:kern w:val="0"/>
          <w:sz w:val="30"/>
          <w:szCs w:val="30"/>
        </w:rPr>
        <w:t>（一）总体情况</w:t>
      </w:r>
    </w:p>
    <w:p w14:paraId="0C7252A8">
      <w:pPr>
        <w:autoSpaceDE w:val="0"/>
        <w:autoSpaceDN w:val="0"/>
        <w:adjustRightInd w:val="0"/>
        <w:spacing w:line="600" w:lineRule="exact"/>
        <w:ind w:firstLine="720"/>
        <w:jc w:val="left"/>
        <w:rPr>
          <w:rFonts w:ascii="Times New Roman" w:hAnsi="Times New Roman" w:eastAsia="仿宋_GB2312" w:cs="仿宋_GB2312"/>
          <w:sz w:val="30"/>
          <w:szCs w:val="30"/>
        </w:rPr>
      </w:pPr>
      <w:r>
        <w:rPr>
          <w:rFonts w:hint="eastAsia" w:ascii="Times New Roman" w:hAnsi="Times New Roman" w:eastAsia="仿宋_GB2312" w:cs="仿宋_GB2312"/>
          <w:sz w:val="30"/>
          <w:szCs w:val="30"/>
        </w:rPr>
        <w:t>天津市宝坻区民政综合服务中心2023年度部门决算一般公共预算财政拨款支出</w:t>
      </w:r>
      <w:r>
        <w:rPr>
          <w:rFonts w:hint="eastAsia" w:ascii="Times New Roman" w:hAnsi="Times New Roman" w:eastAsia="仿宋_GB2312" w:cs="仿宋_GB2312"/>
          <w:sz w:val="30"/>
          <w:szCs w:val="30"/>
          <w:lang w:val="zh-CN"/>
        </w:rPr>
        <w:t>合</w:t>
      </w:r>
      <w:r>
        <w:rPr>
          <w:rFonts w:hint="eastAsia" w:ascii="Times New Roman" w:hAnsi="Times New Roman" w:eastAsia="仿宋_GB2312" w:cs="仿宋_GB2312"/>
          <w:sz w:val="30"/>
          <w:szCs w:val="30"/>
        </w:rPr>
        <w:t>计11,262,143.43元，占本年支出合计的57.28%，与2022年度相比，一般公共预算财政拨款支出增加9,692,732.67元，增长617.6%，</w:t>
      </w:r>
      <w:r>
        <w:rPr>
          <w:rFonts w:hint="eastAsia" w:ascii="Times New Roman" w:hAnsi="Times New Roman" w:eastAsia="仿宋_GB2312" w:cs="仿宋_GB2312"/>
          <w:sz w:val="30"/>
          <w:szCs w:val="30"/>
          <w:lang w:val="zh-CN"/>
        </w:rPr>
        <w:t>主要原因是</w:t>
      </w:r>
      <w:r>
        <w:rPr>
          <w:rFonts w:hint="eastAsia" w:ascii="Times New Roman" w:hAnsi="Times New Roman" w:eastAsia="仿宋_GB2312" w:cs="仿宋_GB2312"/>
          <w:sz w:val="30"/>
          <w:szCs w:val="30"/>
        </w:rPr>
        <w:t>：按规定将以往年度往来款列入收支。</w:t>
      </w:r>
    </w:p>
    <w:p w14:paraId="3C33183E">
      <w:pPr>
        <w:autoSpaceDE w:val="0"/>
        <w:autoSpaceDN w:val="0"/>
        <w:adjustRightInd w:val="0"/>
        <w:spacing w:line="600" w:lineRule="exact"/>
        <w:ind w:left="480"/>
        <w:jc w:val="left"/>
        <w:rPr>
          <w:rFonts w:ascii="Times New Roman" w:hAnsi="Times New Roman" w:eastAsia="楷体" w:cs="楷体"/>
          <w:b/>
          <w:bCs/>
          <w:kern w:val="0"/>
          <w:sz w:val="30"/>
          <w:szCs w:val="30"/>
        </w:rPr>
      </w:pPr>
      <w:r>
        <w:rPr>
          <w:rFonts w:hint="eastAsia" w:ascii="Times New Roman" w:hAnsi="Times New Roman" w:eastAsia="楷体" w:cs="楷体"/>
          <w:b/>
          <w:bCs/>
          <w:kern w:val="0"/>
          <w:sz w:val="30"/>
          <w:szCs w:val="30"/>
        </w:rPr>
        <w:t>（二）</w:t>
      </w:r>
      <w:r>
        <w:rPr>
          <w:rFonts w:hint="eastAsia" w:ascii="Times New Roman" w:hAnsi="Times New Roman" w:eastAsia="楷体" w:cs="楷体"/>
          <w:b/>
          <w:bCs/>
          <w:kern w:val="0"/>
          <w:sz w:val="30"/>
          <w:szCs w:val="30"/>
          <w:lang w:val="zh-CN"/>
        </w:rPr>
        <w:t>支出结构</w:t>
      </w:r>
      <w:r>
        <w:rPr>
          <w:rFonts w:hint="eastAsia" w:ascii="Times New Roman" w:hAnsi="Times New Roman" w:eastAsia="楷体" w:cs="楷体"/>
          <w:b/>
          <w:bCs/>
          <w:kern w:val="0"/>
          <w:sz w:val="30"/>
          <w:szCs w:val="30"/>
        </w:rPr>
        <w:t>情况</w:t>
      </w:r>
    </w:p>
    <w:p w14:paraId="34EB1797">
      <w:pPr>
        <w:autoSpaceDE w:val="0"/>
        <w:autoSpaceDN w:val="0"/>
        <w:adjustRightInd w:val="0"/>
        <w:spacing w:line="600" w:lineRule="exact"/>
        <w:ind w:firstLine="720"/>
        <w:jc w:val="left"/>
        <w:rPr>
          <w:rFonts w:ascii="Times New Roman" w:hAnsi="Times New Roman" w:eastAsia="仿宋_GB2312" w:cs="仿宋_GB2312"/>
          <w:sz w:val="30"/>
          <w:szCs w:val="30"/>
        </w:rPr>
      </w:pPr>
      <w:r>
        <w:rPr>
          <w:rFonts w:hint="eastAsia" w:ascii="Times New Roman" w:hAnsi="Times New Roman" w:eastAsia="仿宋_GB2312" w:cs="仿宋_GB2312"/>
          <w:sz w:val="30"/>
          <w:szCs w:val="30"/>
        </w:rPr>
        <w:t>2023年度一般公共预算财政拨款支出</w:t>
      </w:r>
      <w:r>
        <w:rPr>
          <w:rFonts w:hint="eastAsia" w:ascii="Times New Roman" w:hAnsi="Times New Roman" w:eastAsia="仿宋_GB2312" w:cs="Times New Roman"/>
          <w:sz w:val="30"/>
          <w:szCs w:val="30"/>
        </w:rPr>
        <w:t>11,262,143.43</w:t>
      </w:r>
      <w:r>
        <w:rPr>
          <w:rFonts w:hint="eastAsia" w:ascii="Times New Roman" w:hAnsi="Times New Roman" w:eastAsia="仿宋_GB2312" w:cs="仿宋_GB2312"/>
          <w:sz w:val="30"/>
          <w:szCs w:val="30"/>
        </w:rPr>
        <w:t>元，</w:t>
      </w:r>
      <w:r>
        <w:rPr>
          <w:rFonts w:hint="eastAsia" w:ascii="Times New Roman" w:hAnsi="Times New Roman" w:eastAsia="仿宋_GB2312" w:cs="仿宋_GB2312"/>
          <w:kern w:val="0"/>
          <w:sz w:val="30"/>
          <w:szCs w:val="30"/>
        </w:rPr>
        <w:t>主要用于以下方面：</w:t>
      </w:r>
      <w:r>
        <w:rPr>
          <w:rFonts w:hint="eastAsia" w:ascii="Times New Roman" w:hAnsi="Times New Roman" w:eastAsia="仿宋_GB2312" w:cs="仿宋_GB2312"/>
          <w:sz w:val="30"/>
          <w:szCs w:val="30"/>
        </w:rPr>
        <w:t>社会保障和就业支出类</w:t>
      </w:r>
      <w:r>
        <w:rPr>
          <w:rFonts w:hint="eastAsia" w:ascii="Times New Roman" w:hAnsi="Times New Roman" w:eastAsia="仿宋_GB2312" w:cs="Times New Roman"/>
          <w:sz w:val="30"/>
          <w:szCs w:val="30"/>
        </w:rPr>
        <w:t>11,151,643.43</w:t>
      </w:r>
      <w:r>
        <w:rPr>
          <w:rFonts w:hint="eastAsia" w:ascii="Times New Roman" w:hAnsi="Times New Roman" w:eastAsia="仿宋_GB2312" w:cs="仿宋_GB2312"/>
          <w:sz w:val="30"/>
          <w:szCs w:val="30"/>
        </w:rPr>
        <w:t>元，占比99.02%。卫生健康支出类110,500.00元，占比0.98%。</w:t>
      </w:r>
    </w:p>
    <w:p w14:paraId="5D900E2E">
      <w:pPr>
        <w:autoSpaceDE w:val="0"/>
        <w:autoSpaceDN w:val="0"/>
        <w:adjustRightInd w:val="0"/>
        <w:spacing w:line="600" w:lineRule="exact"/>
        <w:ind w:left="480"/>
        <w:jc w:val="left"/>
        <w:rPr>
          <w:rFonts w:ascii="Times New Roman" w:hAnsi="Times New Roman" w:eastAsia="楷体" w:cs="楷体"/>
          <w:b/>
          <w:bCs/>
          <w:kern w:val="0"/>
          <w:sz w:val="30"/>
          <w:szCs w:val="30"/>
        </w:rPr>
      </w:pPr>
      <w:r>
        <w:rPr>
          <w:rFonts w:hint="eastAsia" w:ascii="Times New Roman" w:hAnsi="Times New Roman" w:eastAsia="楷体" w:cs="楷体"/>
          <w:b/>
          <w:bCs/>
          <w:kern w:val="0"/>
          <w:sz w:val="30"/>
          <w:szCs w:val="30"/>
        </w:rPr>
        <w:t>（三）具体情况</w:t>
      </w:r>
    </w:p>
    <w:p w14:paraId="392E2D46">
      <w:pPr>
        <w:autoSpaceDE w:val="0"/>
        <w:autoSpaceDN w:val="0"/>
        <w:adjustRightInd w:val="0"/>
        <w:spacing w:line="600" w:lineRule="exact"/>
        <w:ind w:firstLine="600"/>
        <w:jc w:val="left"/>
        <w:rPr>
          <w:rFonts w:ascii="Times New Roman" w:hAnsi="Times New Roman" w:eastAsia="仿宋_GB2312" w:cs="仿宋_GB2312"/>
          <w:kern w:val="0"/>
          <w:sz w:val="30"/>
          <w:szCs w:val="30"/>
        </w:rPr>
      </w:pPr>
      <w:r>
        <w:rPr>
          <w:rFonts w:hint="eastAsia" w:ascii="Times New Roman" w:hAnsi="Times New Roman" w:eastAsia="仿宋_GB2312" w:cs="仿宋_GB2312"/>
          <w:kern w:val="0"/>
          <w:sz w:val="30"/>
          <w:szCs w:val="30"/>
        </w:rPr>
        <w:t>2023年度一般公共预算财政拨款支出年初预算为</w:t>
      </w:r>
      <w:r>
        <w:rPr>
          <w:rFonts w:hint="eastAsia" w:ascii="Times New Roman" w:hAnsi="Times New Roman" w:eastAsia="仿宋_GB2312" w:cs="Times New Roman"/>
          <w:sz w:val="30"/>
          <w:szCs w:val="30"/>
        </w:rPr>
        <w:t>11,432,900.00</w:t>
      </w:r>
      <w:r>
        <w:rPr>
          <w:rFonts w:hint="eastAsia" w:ascii="Times New Roman" w:hAnsi="Times New Roman" w:eastAsia="仿宋_GB2312" w:cs="仿宋_GB2312"/>
          <w:kern w:val="0"/>
          <w:sz w:val="30"/>
          <w:szCs w:val="30"/>
        </w:rPr>
        <w:t>元，支出决算为</w:t>
      </w:r>
      <w:r>
        <w:rPr>
          <w:rFonts w:hint="eastAsia" w:ascii="Times New Roman" w:hAnsi="Times New Roman" w:eastAsia="仿宋_GB2312" w:cs="Times New Roman"/>
          <w:sz w:val="30"/>
          <w:szCs w:val="30"/>
        </w:rPr>
        <w:t>11,262,143.43</w:t>
      </w:r>
      <w:r>
        <w:rPr>
          <w:rFonts w:hint="eastAsia" w:ascii="Times New Roman" w:hAnsi="Times New Roman" w:eastAsia="仿宋_GB2312" w:cs="仿宋_GB2312"/>
          <w:kern w:val="0"/>
          <w:sz w:val="30"/>
          <w:szCs w:val="30"/>
        </w:rPr>
        <w:t>元，完成年初预算的</w:t>
      </w:r>
      <w:r>
        <w:rPr>
          <w:rFonts w:hint="eastAsia" w:ascii="Times New Roman" w:hAnsi="Times New Roman" w:eastAsia="仿宋_GB2312" w:cs="Times New Roman"/>
          <w:sz w:val="30"/>
          <w:szCs w:val="30"/>
        </w:rPr>
        <w:t>98.51%</w:t>
      </w:r>
      <w:r>
        <w:rPr>
          <w:rFonts w:hint="eastAsia" w:ascii="Times New Roman" w:hAnsi="Times New Roman" w:eastAsia="仿宋_GB2312" w:cs="仿宋_GB2312"/>
          <w:kern w:val="0"/>
          <w:sz w:val="30"/>
          <w:szCs w:val="30"/>
        </w:rPr>
        <w:t>。其中：</w:t>
      </w:r>
    </w:p>
    <w:p w14:paraId="3BED1C6A">
      <w:pPr>
        <w:numPr>
          <w:ilvl w:val="0"/>
          <w:numId w:val="1"/>
        </w:numPr>
        <w:autoSpaceDE w:val="0"/>
        <w:autoSpaceDN w:val="0"/>
        <w:adjustRightInd w:val="0"/>
        <w:spacing w:line="600" w:lineRule="exact"/>
        <w:ind w:firstLine="720"/>
        <w:rPr>
          <w:rFonts w:hint="eastAsia" w:ascii="Times New Roman" w:hAnsi="Times New Roman" w:eastAsia="仿宋_GB2312" w:cs="仿宋_GB2312"/>
          <w:sz w:val="30"/>
          <w:szCs w:val="30"/>
        </w:rPr>
      </w:pPr>
      <w:r>
        <w:rPr>
          <w:rFonts w:hint="eastAsia" w:ascii="Times New Roman" w:hAnsi="Times New Roman" w:eastAsia="仿宋_GB2312" w:cs="仿宋_GB2312"/>
          <w:sz w:val="30"/>
          <w:szCs w:val="30"/>
        </w:rPr>
        <w:t>社会保障和就业支出（类）民政管理事务（款）其他民政管理事务支出（项）年初预算为2,479,900</w:t>
      </w:r>
      <w:r>
        <w:rPr>
          <w:rFonts w:hint="eastAsia" w:ascii="Times New Roman" w:hAnsi="Times New Roman" w:eastAsia="仿宋_GB2312" w:cs="仿宋_GB2312"/>
          <w:sz w:val="30"/>
          <w:szCs w:val="30"/>
          <w:lang w:val="en-US" w:eastAsia="zh-CN"/>
        </w:rPr>
        <w:t>.00</w:t>
      </w:r>
      <w:r>
        <w:rPr>
          <w:rFonts w:hint="eastAsia" w:ascii="Times New Roman" w:hAnsi="Times New Roman" w:eastAsia="仿宋_GB2312" w:cs="仿宋_GB2312"/>
          <w:sz w:val="30"/>
          <w:szCs w:val="30"/>
        </w:rPr>
        <w:t>元，支出决算为2,882,563.43元，完成年初预算的116.24%，决算数大于年初预算数的主要原因是年中追加事业单位人员经费预算。</w:t>
      </w:r>
      <w:r>
        <w:rPr>
          <w:rFonts w:hint="eastAsia" w:ascii="Times New Roman" w:hAnsi="Times New Roman" w:eastAsia="仿宋_GB2312" w:cs="仿宋_GB2312"/>
          <w:sz w:val="30"/>
          <w:szCs w:val="30"/>
        </w:rPr>
        <w:br w:type="textWrapping"/>
      </w:r>
      <w:r>
        <w:rPr>
          <w:rFonts w:hint="eastAsia" w:ascii="Times New Roman" w:hAnsi="Times New Roman" w:eastAsia="仿宋_GB2312" w:cs="仿宋_GB2312"/>
          <w:sz w:val="30"/>
          <w:szCs w:val="30"/>
        </w:rPr>
        <w:t xml:space="preserve">    2. 社会保障和就业支出（类）行政事业单位养老支出（款）机关事业单位基本养老保险缴费支出（项）年初预算为168,300.00元，支出决算为168,300.00元，完成年初预算的100.00%，决算数等于预算数的主要原因是机关事业单位基本养老保险缴费资金预算全部支出。</w:t>
      </w:r>
      <w:r>
        <w:rPr>
          <w:rFonts w:hint="eastAsia" w:ascii="Times New Roman" w:hAnsi="Times New Roman" w:eastAsia="仿宋_GB2312" w:cs="仿宋_GB2312"/>
          <w:sz w:val="30"/>
          <w:szCs w:val="30"/>
        </w:rPr>
        <w:br w:type="textWrapping"/>
      </w:r>
      <w:r>
        <w:rPr>
          <w:rFonts w:hint="eastAsia" w:ascii="Times New Roman" w:hAnsi="Times New Roman" w:eastAsia="仿宋_GB2312" w:cs="仿宋_GB2312"/>
          <w:sz w:val="30"/>
          <w:szCs w:val="30"/>
        </w:rPr>
        <w:t xml:space="preserve">    3. 社会保障和就业支出（类）行政事业单位养老支出（款）机关事业单位职业年金缴费支出（项）年初预算为84,200.00元，支出决算为84,200.00元，完成年初预算的100.00%，决算数等于预算数的主要原因是机关事业单位职业年金缴费支出资金预算全部支出。</w:t>
      </w:r>
      <w:r>
        <w:rPr>
          <w:rFonts w:hint="eastAsia" w:ascii="Times New Roman" w:hAnsi="Times New Roman" w:eastAsia="仿宋_GB2312" w:cs="仿宋_GB2312"/>
          <w:sz w:val="30"/>
          <w:szCs w:val="30"/>
        </w:rPr>
        <w:br w:type="textWrapping"/>
      </w:r>
      <w:r>
        <w:rPr>
          <w:rFonts w:hint="eastAsia" w:ascii="Times New Roman" w:hAnsi="Times New Roman" w:eastAsia="仿宋_GB2312" w:cs="仿宋_GB2312"/>
          <w:sz w:val="30"/>
          <w:szCs w:val="30"/>
        </w:rPr>
        <w:t xml:space="preserve">    4. 社会保障和就业支出（类）社会福利（款）老年福利（项）年初预算为8,590,000.00元，支出决算为7,920,505.00元，完成年初预算的92.21%，决算数小于年初预算数的主要原因按实际支出执行，预算有结余。</w:t>
      </w:r>
    </w:p>
    <w:p w14:paraId="7091F3D9">
      <w:pPr>
        <w:numPr>
          <w:ilvl w:val="0"/>
          <w:numId w:val="0"/>
        </w:numPr>
        <w:autoSpaceDE w:val="0"/>
        <w:autoSpaceDN w:val="0"/>
        <w:adjustRightInd w:val="0"/>
        <w:spacing w:line="600" w:lineRule="exact"/>
        <w:ind w:firstLine="600" w:firstLineChars="200"/>
        <w:rPr>
          <w:rFonts w:ascii="Times New Roman" w:hAnsi="Times New Roman" w:eastAsia="黑体" w:cs="黑体"/>
          <w:b/>
          <w:bCs/>
          <w:kern w:val="0"/>
          <w:sz w:val="30"/>
          <w:szCs w:val="30"/>
        </w:rPr>
      </w:pPr>
      <w:r>
        <w:rPr>
          <w:rFonts w:hint="eastAsia" w:ascii="Times New Roman" w:hAnsi="Times New Roman" w:eastAsia="仿宋_GB2312" w:cs="仿宋_GB2312"/>
          <w:color w:val="auto"/>
          <w:sz w:val="30"/>
          <w:szCs w:val="30"/>
          <w:lang w:val="en-US" w:eastAsia="zh-CN"/>
        </w:rPr>
        <w:t>5</w:t>
      </w:r>
      <w:r>
        <w:rPr>
          <w:rFonts w:hint="eastAsia" w:ascii="Times New Roman" w:hAnsi="Times New Roman" w:eastAsia="仿宋_GB2312" w:cs="仿宋_GB2312"/>
          <w:color w:val="auto"/>
          <w:sz w:val="30"/>
          <w:szCs w:val="30"/>
        </w:rPr>
        <w:t>. 社会保障和就业支出（类）社会福利（款）</w:t>
      </w:r>
      <w:r>
        <w:rPr>
          <w:rFonts w:hint="eastAsia" w:ascii="Times New Roman" w:hAnsi="Times New Roman" w:eastAsia="仿宋_GB2312" w:cs="仿宋_GB2312"/>
          <w:color w:val="auto"/>
          <w:sz w:val="30"/>
          <w:szCs w:val="30"/>
          <w:lang w:val="en-US" w:eastAsia="zh-CN"/>
        </w:rPr>
        <w:t>养老服务</w:t>
      </w:r>
      <w:r>
        <w:rPr>
          <w:rFonts w:hint="eastAsia" w:ascii="Times New Roman" w:hAnsi="Times New Roman" w:eastAsia="仿宋_GB2312" w:cs="仿宋_GB2312"/>
          <w:color w:val="auto"/>
          <w:sz w:val="30"/>
          <w:szCs w:val="30"/>
        </w:rPr>
        <w:t>（项）年初预算为0.00元，</w:t>
      </w:r>
      <w:r>
        <w:rPr>
          <w:rFonts w:hint="eastAsia" w:ascii="Times New Roman" w:hAnsi="Times New Roman" w:eastAsia="仿宋_GB2312" w:cs="仿宋_GB2312"/>
          <w:color w:val="auto"/>
          <w:sz w:val="30"/>
          <w:szCs w:val="30"/>
          <w:lang w:val="en-US" w:eastAsia="zh-CN"/>
        </w:rPr>
        <w:t>追加预算数87,000元，</w:t>
      </w:r>
      <w:r>
        <w:rPr>
          <w:rFonts w:hint="eastAsia" w:ascii="Times New Roman" w:hAnsi="Times New Roman" w:eastAsia="仿宋_GB2312" w:cs="仿宋_GB2312"/>
          <w:color w:val="auto"/>
          <w:sz w:val="30"/>
          <w:szCs w:val="30"/>
        </w:rPr>
        <w:t>支出决算为</w:t>
      </w:r>
      <w:r>
        <w:rPr>
          <w:rFonts w:hint="eastAsia" w:ascii="Times New Roman" w:hAnsi="Times New Roman" w:eastAsia="仿宋_GB2312" w:cs="仿宋_GB2312"/>
          <w:color w:val="auto"/>
          <w:sz w:val="30"/>
          <w:szCs w:val="30"/>
          <w:lang w:val="en-US" w:eastAsia="zh-CN"/>
        </w:rPr>
        <w:t>96,075.00</w:t>
      </w:r>
      <w:r>
        <w:rPr>
          <w:rFonts w:hint="eastAsia" w:ascii="Times New Roman" w:hAnsi="Times New Roman" w:eastAsia="仿宋_GB2312" w:cs="仿宋_GB2312"/>
          <w:color w:val="auto"/>
          <w:sz w:val="30"/>
          <w:szCs w:val="30"/>
        </w:rPr>
        <w:t>元，完成预算的</w:t>
      </w:r>
      <w:r>
        <w:rPr>
          <w:rFonts w:hint="eastAsia" w:ascii="Times New Roman" w:hAnsi="Times New Roman" w:eastAsia="仿宋_GB2312" w:cs="仿宋_GB2312"/>
          <w:color w:val="auto"/>
          <w:sz w:val="30"/>
          <w:szCs w:val="30"/>
          <w:lang w:val="en-US" w:eastAsia="zh-CN"/>
        </w:rPr>
        <w:t>110.43</w:t>
      </w:r>
      <w:r>
        <w:rPr>
          <w:rFonts w:hint="eastAsia" w:ascii="Times New Roman" w:hAnsi="Times New Roman" w:eastAsia="仿宋_GB2312" w:cs="仿宋_GB2312"/>
          <w:color w:val="auto"/>
          <w:sz w:val="30"/>
          <w:szCs w:val="30"/>
        </w:rPr>
        <w:t>%，决算数</w:t>
      </w:r>
      <w:r>
        <w:rPr>
          <w:rFonts w:hint="eastAsia" w:ascii="Times New Roman" w:hAnsi="Times New Roman" w:eastAsia="仿宋_GB2312" w:cs="仿宋_GB2312"/>
          <w:color w:val="auto"/>
          <w:sz w:val="30"/>
          <w:szCs w:val="30"/>
          <w:lang w:val="en-US" w:eastAsia="zh-CN"/>
        </w:rPr>
        <w:t>大</w:t>
      </w:r>
      <w:r>
        <w:rPr>
          <w:rFonts w:hint="eastAsia" w:ascii="Times New Roman" w:hAnsi="Times New Roman" w:eastAsia="仿宋_GB2312" w:cs="仿宋_GB2312"/>
          <w:color w:val="auto"/>
          <w:sz w:val="30"/>
          <w:szCs w:val="30"/>
        </w:rPr>
        <w:t>于预算数的主要原因</w:t>
      </w:r>
      <w:r>
        <w:rPr>
          <w:rFonts w:hint="eastAsia" w:ascii="Times New Roman" w:hAnsi="Times New Roman" w:eastAsia="仿宋_GB2312" w:cs="仿宋_GB2312"/>
          <w:color w:val="auto"/>
          <w:sz w:val="30"/>
          <w:szCs w:val="30"/>
          <w:lang w:val="en-US" w:eastAsia="zh-CN"/>
        </w:rPr>
        <w:t>是2023年执行中按规定使用了以前年度结转资金</w:t>
      </w:r>
      <w:r>
        <w:rPr>
          <w:rFonts w:hint="eastAsia" w:ascii="Times New Roman" w:hAnsi="Times New Roman" w:eastAsia="仿宋_GB2312" w:cs="仿宋_GB2312"/>
          <w:color w:val="auto"/>
          <w:sz w:val="30"/>
          <w:szCs w:val="30"/>
        </w:rPr>
        <w:t>。</w:t>
      </w:r>
      <w:r>
        <w:rPr>
          <w:rFonts w:hint="eastAsia" w:ascii="Times New Roman" w:hAnsi="Times New Roman" w:eastAsia="仿宋_GB2312" w:cs="仿宋_GB2312"/>
          <w:sz w:val="30"/>
          <w:szCs w:val="30"/>
        </w:rPr>
        <w:br w:type="textWrapping"/>
      </w:r>
      <w:r>
        <w:rPr>
          <w:rFonts w:hint="eastAsia" w:ascii="Times New Roman" w:hAnsi="Times New Roman" w:eastAsia="仿宋_GB2312" w:cs="仿宋_GB2312"/>
          <w:sz w:val="30"/>
          <w:szCs w:val="30"/>
        </w:rPr>
        <w:t xml:space="preserve">    </w:t>
      </w:r>
      <w:r>
        <w:rPr>
          <w:rFonts w:hint="eastAsia" w:ascii="Times New Roman" w:hAnsi="Times New Roman" w:eastAsia="仿宋_GB2312" w:cs="仿宋_GB2312"/>
          <w:sz w:val="30"/>
          <w:szCs w:val="30"/>
          <w:lang w:val="en-US" w:eastAsia="zh-CN"/>
        </w:rPr>
        <w:t>6</w:t>
      </w:r>
      <w:r>
        <w:rPr>
          <w:rFonts w:hint="eastAsia" w:ascii="Times New Roman" w:hAnsi="Times New Roman" w:eastAsia="仿宋_GB2312" w:cs="仿宋_GB2312"/>
          <w:sz w:val="30"/>
          <w:szCs w:val="30"/>
        </w:rPr>
        <w:t>. 卫生健康支出（类）行政事业单位医疗（款）事业单位医疗（项）年初预算为110,500.00元，支出决算为110,500.00元，完成年初预算的100.00%，决算数等于预算数的主要原因是事业单位医疗费用支出资金预算全部支出。</w:t>
      </w:r>
    </w:p>
    <w:p w14:paraId="30C14B31">
      <w:pPr>
        <w:keepNext/>
        <w:keepLines/>
        <w:autoSpaceDE w:val="0"/>
        <w:autoSpaceDN w:val="0"/>
        <w:adjustRightInd w:val="0"/>
        <w:spacing w:line="600" w:lineRule="exact"/>
        <w:ind w:firstLine="602"/>
        <w:jc w:val="left"/>
        <w:outlineLvl w:val="1"/>
        <w:rPr>
          <w:rFonts w:ascii="Times New Roman" w:hAnsi="Times New Roman" w:eastAsia="黑体" w:cs="黑体"/>
          <w:b/>
          <w:bCs/>
          <w:kern w:val="0"/>
          <w:sz w:val="30"/>
          <w:szCs w:val="30"/>
        </w:rPr>
      </w:pPr>
      <w:r>
        <w:rPr>
          <w:rFonts w:hint="eastAsia" w:ascii="Times New Roman" w:hAnsi="Times New Roman" w:eastAsia="黑体" w:cs="黑体"/>
          <w:b/>
          <w:bCs/>
          <w:kern w:val="0"/>
          <w:sz w:val="30"/>
          <w:szCs w:val="30"/>
        </w:rPr>
        <w:t>六、一般公共预算财政拨款基本支出决算情况说明</w:t>
      </w:r>
    </w:p>
    <w:p w14:paraId="0A88639A">
      <w:pPr>
        <w:autoSpaceDE w:val="0"/>
        <w:autoSpaceDN w:val="0"/>
        <w:adjustRightInd w:val="0"/>
        <w:spacing w:line="600" w:lineRule="exact"/>
        <w:ind w:firstLine="720"/>
        <w:jc w:val="left"/>
        <w:rPr>
          <w:rFonts w:ascii="Times New Roman" w:hAnsi="Times New Roman" w:eastAsia="仿宋_GB2312" w:cs="仿宋_GB2312"/>
          <w:kern w:val="0"/>
          <w:sz w:val="30"/>
          <w:szCs w:val="30"/>
        </w:rPr>
      </w:pPr>
      <w:r>
        <w:rPr>
          <w:rFonts w:hint="eastAsia" w:ascii="Times New Roman" w:hAnsi="Times New Roman" w:eastAsia="仿宋_GB2312" w:cs="仿宋_GB2312"/>
          <w:sz w:val="30"/>
          <w:szCs w:val="30"/>
        </w:rPr>
        <w:t>天津市宝坻区民政综合服务中心</w:t>
      </w:r>
      <w:r>
        <w:rPr>
          <w:rFonts w:hint="eastAsia" w:ascii="Times New Roman" w:hAnsi="Times New Roman" w:eastAsia="宋体" w:cs="宋体"/>
          <w:sz w:val="30"/>
          <w:szCs w:val="30"/>
        </w:rPr>
        <w:t>2023</w:t>
      </w:r>
      <w:r>
        <w:rPr>
          <w:rFonts w:hint="eastAsia" w:ascii="Times New Roman" w:hAnsi="Times New Roman" w:eastAsia="仿宋_GB2312" w:cs="仿宋_GB2312"/>
          <w:sz w:val="30"/>
          <w:szCs w:val="30"/>
        </w:rPr>
        <w:t>年度部门决算一般公共预算财政拨款基本支出合计</w:t>
      </w:r>
      <w:r>
        <w:rPr>
          <w:rFonts w:hint="eastAsia" w:ascii="Times New Roman" w:hAnsi="Times New Roman" w:eastAsia="仿宋_GB2312" w:cs="Times New Roman"/>
          <w:sz w:val="30"/>
          <w:szCs w:val="30"/>
        </w:rPr>
        <w:t>3,245,563.43</w:t>
      </w:r>
      <w:r>
        <w:rPr>
          <w:rFonts w:hint="eastAsia" w:ascii="Times New Roman" w:hAnsi="Times New Roman" w:eastAsia="仿宋_GB2312" w:cs="仿宋_GB2312"/>
          <w:sz w:val="30"/>
          <w:szCs w:val="30"/>
        </w:rPr>
        <w:t>元，与</w:t>
      </w:r>
      <w:r>
        <w:rPr>
          <w:rFonts w:hint="eastAsia" w:ascii="Times New Roman" w:hAnsi="Times New Roman" w:eastAsia="仿宋_GB2312" w:cs="Times New Roman"/>
          <w:sz w:val="30"/>
          <w:szCs w:val="30"/>
        </w:rPr>
        <w:t>2022</w:t>
      </w:r>
      <w:r>
        <w:rPr>
          <w:rFonts w:hint="eastAsia" w:ascii="Times New Roman" w:hAnsi="Times New Roman" w:eastAsia="仿宋_GB2312" w:cs="仿宋_GB2312"/>
          <w:sz w:val="30"/>
          <w:szCs w:val="30"/>
        </w:rPr>
        <w:t>年度相比增加1,676,152.67元，</w:t>
      </w:r>
      <w:r>
        <w:rPr>
          <w:rFonts w:hint="eastAsia" w:ascii="Times New Roman" w:hAnsi="Times New Roman" w:eastAsia="仿宋_GB2312" w:cs="仿宋_GB2312"/>
          <w:kern w:val="0"/>
          <w:sz w:val="30"/>
          <w:szCs w:val="30"/>
        </w:rPr>
        <w:t>主要原因是</w:t>
      </w:r>
      <w:r>
        <w:rPr>
          <w:rFonts w:hint="eastAsia" w:ascii="Times New Roman" w:hAnsi="Times New Roman" w:eastAsia="楷体_GB2312" w:cs="楷体_GB2312"/>
          <w:sz w:val="30"/>
          <w:szCs w:val="30"/>
        </w:rPr>
        <w:t>：</w:t>
      </w:r>
      <w:r>
        <w:rPr>
          <w:rFonts w:hint="eastAsia" w:ascii="Times New Roman" w:hAnsi="Times New Roman" w:eastAsia="仿宋_GB2312" w:cs="仿宋_GB2312"/>
          <w:sz w:val="30"/>
          <w:szCs w:val="30"/>
        </w:rPr>
        <w:t>按规定将以往年度往来款列入收支</w:t>
      </w:r>
      <w:r>
        <w:rPr>
          <w:rFonts w:hint="eastAsia" w:ascii="Times New Roman" w:hAnsi="Times New Roman" w:eastAsia="仿宋_GB2312" w:cs="仿宋_GB2312"/>
          <w:kern w:val="0"/>
          <w:sz w:val="30"/>
          <w:szCs w:val="30"/>
        </w:rPr>
        <w:t>其中：</w:t>
      </w:r>
    </w:p>
    <w:p w14:paraId="2FF0F73C">
      <w:pPr>
        <w:autoSpaceDE w:val="0"/>
        <w:autoSpaceDN w:val="0"/>
        <w:adjustRightInd w:val="0"/>
        <w:spacing w:line="600" w:lineRule="exact"/>
        <w:ind w:firstLine="720"/>
        <w:jc w:val="left"/>
        <w:rPr>
          <w:rFonts w:ascii="Times New Roman" w:hAnsi="Times New Roman" w:eastAsia="黑体" w:cs="黑体"/>
          <w:b/>
          <w:bCs/>
          <w:kern w:val="0"/>
          <w:sz w:val="30"/>
          <w:szCs w:val="30"/>
        </w:rPr>
      </w:pPr>
      <w:r>
        <w:rPr>
          <w:rFonts w:hint="eastAsia" w:ascii="Times New Roman" w:hAnsi="Times New Roman" w:eastAsia="仿宋_GB2312" w:cs="仿宋_GB2312"/>
          <w:kern w:val="0"/>
          <w:sz w:val="30"/>
          <w:szCs w:val="30"/>
        </w:rPr>
        <w:t>人员经费</w:t>
      </w:r>
      <w:r>
        <w:rPr>
          <w:rFonts w:hint="eastAsia" w:ascii="Times New Roman" w:hAnsi="Times New Roman" w:eastAsia="仿宋_GB2312" w:cs="Times New Roman"/>
          <w:sz w:val="30"/>
          <w:szCs w:val="30"/>
        </w:rPr>
        <w:t>3,140,593.27</w:t>
      </w:r>
      <w:r>
        <w:rPr>
          <w:rFonts w:hint="eastAsia" w:ascii="Times New Roman" w:hAnsi="Times New Roman" w:eastAsia="仿宋_GB2312" w:cs="仿宋_GB2312"/>
          <w:kern w:val="0"/>
          <w:sz w:val="30"/>
          <w:szCs w:val="30"/>
        </w:rPr>
        <w:t>元，主要包括</w:t>
      </w:r>
      <w:r>
        <w:rPr>
          <w:rFonts w:hint="eastAsia" w:ascii="Times New Roman" w:hAnsi="Times New Roman" w:eastAsia="仿宋_GB2312" w:cs="仿宋_GB2312"/>
          <w:sz w:val="30"/>
          <w:szCs w:val="30"/>
        </w:rPr>
        <w:t>基本工资、津贴补贴、绩效工资、</w:t>
      </w:r>
      <w:r>
        <w:rPr>
          <w:rFonts w:hint="eastAsia" w:ascii="Times New Roman" w:hAnsi="Times New Roman" w:eastAsia="仿宋_GB2312" w:cs="仿宋_GB2312"/>
          <w:sz w:val="30"/>
          <w:szCs w:val="30"/>
          <w:lang w:val="en-US" w:eastAsia="zh-CN"/>
        </w:rPr>
        <w:t>住房公积金、</w:t>
      </w:r>
      <w:r>
        <w:rPr>
          <w:rFonts w:hint="eastAsia" w:ascii="Times New Roman" w:hAnsi="Times New Roman" w:eastAsia="仿宋_GB2312" w:cs="仿宋_GB2312"/>
          <w:sz w:val="30"/>
          <w:szCs w:val="30"/>
        </w:rPr>
        <w:t>其他社会保障缴费、其他工资福利支出、退休费、生活补助、奖励金、其他对个人和家庭的补助。</w:t>
      </w:r>
    </w:p>
    <w:p w14:paraId="106819D6">
      <w:pPr>
        <w:autoSpaceDE w:val="0"/>
        <w:autoSpaceDN w:val="0"/>
        <w:adjustRightInd w:val="0"/>
        <w:spacing w:line="600" w:lineRule="exact"/>
        <w:ind w:firstLine="720"/>
        <w:jc w:val="left"/>
        <w:rPr>
          <w:rFonts w:ascii="Times New Roman" w:hAnsi="Times New Roman" w:eastAsia="黑体" w:cs="黑体"/>
          <w:b/>
          <w:bCs/>
          <w:kern w:val="0"/>
          <w:sz w:val="30"/>
          <w:szCs w:val="30"/>
        </w:rPr>
      </w:pPr>
      <w:r>
        <w:rPr>
          <w:rFonts w:hint="eastAsia" w:ascii="Times New Roman" w:hAnsi="Times New Roman" w:eastAsia="仿宋_GB2312" w:cs="仿宋_GB2312"/>
          <w:kern w:val="0"/>
          <w:sz w:val="30"/>
          <w:szCs w:val="30"/>
        </w:rPr>
        <w:t>公用经费</w:t>
      </w:r>
      <w:r>
        <w:rPr>
          <w:rFonts w:hint="eastAsia" w:ascii="Times New Roman" w:hAnsi="Times New Roman" w:eastAsia="仿宋_GB2312" w:cs="Times New Roman"/>
          <w:sz w:val="30"/>
          <w:szCs w:val="30"/>
        </w:rPr>
        <w:t>104,970.16</w:t>
      </w:r>
      <w:r>
        <w:rPr>
          <w:rFonts w:hint="eastAsia" w:ascii="Times New Roman" w:hAnsi="Times New Roman" w:eastAsia="仿宋_GB2312" w:cs="仿宋_GB2312"/>
          <w:kern w:val="0"/>
          <w:sz w:val="30"/>
          <w:szCs w:val="30"/>
        </w:rPr>
        <w:t>元，主要包括</w:t>
      </w:r>
      <w:r>
        <w:rPr>
          <w:rFonts w:hint="eastAsia" w:ascii="Times New Roman" w:hAnsi="Times New Roman" w:eastAsia="仿宋_GB2312" w:cs="仿宋_GB2312"/>
          <w:sz w:val="30"/>
          <w:szCs w:val="30"/>
        </w:rPr>
        <w:t>办公费、手续费、差旅费、维修(护)费、工会经费、福利费。</w:t>
      </w:r>
    </w:p>
    <w:p w14:paraId="7E7557F4">
      <w:pPr>
        <w:keepNext/>
        <w:keepLines/>
        <w:autoSpaceDE w:val="0"/>
        <w:autoSpaceDN w:val="0"/>
        <w:adjustRightInd w:val="0"/>
        <w:spacing w:line="600" w:lineRule="exact"/>
        <w:ind w:firstLine="602"/>
        <w:jc w:val="left"/>
        <w:outlineLvl w:val="1"/>
        <w:rPr>
          <w:rFonts w:ascii="Times New Roman" w:hAnsi="Times New Roman" w:eastAsia="黑体" w:cs="黑体"/>
          <w:b/>
          <w:bCs/>
          <w:kern w:val="0"/>
          <w:sz w:val="30"/>
          <w:szCs w:val="30"/>
        </w:rPr>
      </w:pPr>
      <w:r>
        <w:rPr>
          <w:rFonts w:hint="eastAsia" w:ascii="Times New Roman" w:hAnsi="Times New Roman" w:eastAsia="黑体" w:cs="黑体"/>
          <w:b/>
          <w:bCs/>
          <w:kern w:val="0"/>
          <w:sz w:val="30"/>
          <w:szCs w:val="30"/>
        </w:rPr>
        <w:t>七、政府性基金预算财政拨款收支决算情况</w:t>
      </w:r>
    </w:p>
    <w:p w14:paraId="4C301C15">
      <w:pPr>
        <w:autoSpaceDE w:val="0"/>
        <w:autoSpaceDN w:val="0"/>
        <w:adjustRightInd w:val="0"/>
        <w:spacing w:line="580" w:lineRule="exact"/>
        <w:ind w:firstLine="600"/>
        <w:jc w:val="left"/>
        <w:rPr>
          <w:rFonts w:ascii="Times New Roman" w:hAnsi="Times New Roman" w:eastAsia="仿宋_GB2312" w:cs="仿宋_GB2312"/>
          <w:kern w:val="0"/>
          <w:sz w:val="30"/>
          <w:szCs w:val="30"/>
        </w:rPr>
      </w:pPr>
      <w:r>
        <w:rPr>
          <w:rFonts w:hint="eastAsia" w:ascii="Times New Roman" w:hAnsi="Times New Roman" w:eastAsia="仿宋_GB2312" w:cs="仿宋_GB2312"/>
          <w:sz w:val="30"/>
          <w:szCs w:val="30"/>
        </w:rPr>
        <w:t>天津市宝坻区民政综合服务中心</w:t>
      </w:r>
      <w:r>
        <w:rPr>
          <w:rFonts w:hint="eastAsia" w:ascii="Times New Roman" w:hAnsi="Times New Roman" w:eastAsia="宋体" w:cs="宋体"/>
          <w:sz w:val="30"/>
          <w:szCs w:val="30"/>
        </w:rPr>
        <w:t>2023</w:t>
      </w:r>
      <w:r>
        <w:rPr>
          <w:rFonts w:hint="eastAsia" w:ascii="Times New Roman" w:hAnsi="Times New Roman" w:eastAsia="仿宋_GB2312" w:cs="仿宋_GB2312"/>
          <w:sz w:val="30"/>
          <w:szCs w:val="30"/>
        </w:rPr>
        <w:t>年度部门决算政府性基金预算财政拨款</w:t>
      </w:r>
      <w:r>
        <w:rPr>
          <w:rFonts w:hint="eastAsia" w:ascii="Times New Roman" w:hAnsi="Times New Roman" w:eastAsia="仿宋_GB2312" w:cs="仿宋_GB2312"/>
          <w:kern w:val="0"/>
          <w:sz w:val="30"/>
          <w:szCs w:val="30"/>
        </w:rPr>
        <w:t>年初结转和结余</w:t>
      </w:r>
      <w:r>
        <w:rPr>
          <w:rFonts w:hint="eastAsia" w:ascii="Times New Roman" w:hAnsi="Times New Roman" w:eastAsia="仿宋_GB2312" w:cs="Times New Roman"/>
          <w:sz w:val="30"/>
          <w:szCs w:val="30"/>
        </w:rPr>
        <w:t>0.00</w:t>
      </w:r>
      <w:r>
        <w:rPr>
          <w:rFonts w:hint="eastAsia" w:ascii="Times New Roman" w:hAnsi="Times New Roman" w:eastAsia="仿宋_GB2312" w:cs="仿宋_GB2312"/>
          <w:kern w:val="0"/>
          <w:sz w:val="30"/>
          <w:szCs w:val="30"/>
        </w:rPr>
        <w:t>元，收入</w:t>
      </w:r>
      <w:r>
        <w:rPr>
          <w:rFonts w:hint="eastAsia" w:ascii="Times New Roman" w:hAnsi="Times New Roman" w:eastAsia="仿宋_GB2312" w:cs="Times New Roman"/>
          <w:sz w:val="30"/>
          <w:szCs w:val="30"/>
        </w:rPr>
        <w:t>8,400,000.00</w:t>
      </w:r>
      <w:r>
        <w:rPr>
          <w:rFonts w:hint="eastAsia" w:ascii="Times New Roman" w:hAnsi="Times New Roman" w:eastAsia="仿宋_GB2312" w:cs="仿宋_GB2312"/>
          <w:kern w:val="0"/>
          <w:sz w:val="30"/>
          <w:szCs w:val="30"/>
        </w:rPr>
        <w:t>元，</w:t>
      </w:r>
      <w:r>
        <w:rPr>
          <w:rFonts w:hint="eastAsia" w:ascii="Times New Roman" w:hAnsi="Times New Roman" w:eastAsia="仿宋_GB2312" w:cs="仿宋_GB2312"/>
          <w:sz w:val="30"/>
          <w:szCs w:val="30"/>
        </w:rPr>
        <w:t>支出</w:t>
      </w:r>
      <w:r>
        <w:rPr>
          <w:rFonts w:hint="eastAsia" w:ascii="Times New Roman" w:hAnsi="Times New Roman" w:eastAsia="仿宋_GB2312" w:cs="Times New Roman"/>
          <w:sz w:val="30"/>
          <w:szCs w:val="30"/>
        </w:rPr>
        <w:t>8,400,000.00</w:t>
      </w:r>
      <w:r>
        <w:rPr>
          <w:rFonts w:hint="eastAsia" w:ascii="Times New Roman" w:hAnsi="Times New Roman" w:eastAsia="仿宋_GB2312" w:cs="仿宋_GB2312"/>
          <w:sz w:val="30"/>
          <w:szCs w:val="30"/>
        </w:rPr>
        <w:t>元，年末结转和结余</w:t>
      </w:r>
      <w:r>
        <w:rPr>
          <w:rFonts w:hint="eastAsia" w:ascii="Times New Roman" w:hAnsi="Times New Roman" w:eastAsia="仿宋_GB2312" w:cs="Times New Roman"/>
          <w:sz w:val="30"/>
          <w:szCs w:val="30"/>
        </w:rPr>
        <w:t>0.00</w:t>
      </w:r>
      <w:r>
        <w:rPr>
          <w:rFonts w:hint="eastAsia" w:ascii="Times New Roman" w:hAnsi="Times New Roman" w:eastAsia="仿宋_GB2312" w:cs="仿宋_GB2312"/>
          <w:sz w:val="30"/>
          <w:szCs w:val="30"/>
        </w:rPr>
        <w:t>元。与</w:t>
      </w:r>
      <w:r>
        <w:rPr>
          <w:rFonts w:hint="eastAsia" w:ascii="Times New Roman" w:hAnsi="Times New Roman" w:eastAsia="仿宋_GB2312" w:cs="Times New Roman"/>
          <w:sz w:val="30"/>
          <w:szCs w:val="30"/>
        </w:rPr>
        <w:t>2022</w:t>
      </w:r>
      <w:r>
        <w:rPr>
          <w:rFonts w:hint="eastAsia" w:ascii="Times New Roman" w:hAnsi="Times New Roman" w:eastAsia="仿宋_GB2312" w:cs="仿宋_GB2312"/>
          <w:sz w:val="30"/>
          <w:szCs w:val="30"/>
        </w:rPr>
        <w:t>年度相比，政府性基金财政拨款支出增加8,400,000.00元。</w:t>
      </w:r>
      <w:r>
        <w:rPr>
          <w:rFonts w:hint="eastAsia" w:ascii="Times New Roman" w:hAnsi="Times New Roman" w:eastAsia="仿宋_GB2312" w:cs="仿宋_GB2312"/>
          <w:kern w:val="0"/>
          <w:sz w:val="30"/>
          <w:szCs w:val="30"/>
        </w:rPr>
        <w:t>主要原因是</w:t>
      </w:r>
      <w:r>
        <w:rPr>
          <w:rFonts w:hint="eastAsia" w:ascii="Times New Roman" w:hAnsi="Times New Roman" w:eastAsia="楷体_GB2312" w:cs="楷体_GB2312"/>
          <w:sz w:val="30"/>
          <w:szCs w:val="30"/>
          <w:lang w:val="zh-CN"/>
        </w:rPr>
        <w:t>：</w:t>
      </w:r>
      <w:r>
        <w:rPr>
          <w:rFonts w:hint="eastAsia" w:ascii="Times New Roman" w:hAnsi="Times New Roman" w:eastAsia="楷体_GB2312" w:cs="楷体_GB2312"/>
          <w:sz w:val="30"/>
          <w:szCs w:val="30"/>
          <w:lang w:val="en-US" w:eastAsia="zh-CN"/>
        </w:rPr>
        <w:t>2023年</w:t>
      </w:r>
      <w:r>
        <w:rPr>
          <w:rFonts w:hint="eastAsia" w:ascii="Times New Roman" w:hAnsi="Times New Roman" w:eastAsia="仿宋_GB2312" w:cs="仿宋_GB2312"/>
          <w:sz w:val="30"/>
          <w:szCs w:val="30"/>
        </w:rPr>
        <w:t>居家养老服务补贴项目转入。</w:t>
      </w:r>
      <w:r>
        <w:rPr>
          <w:rFonts w:hint="eastAsia" w:ascii="Times New Roman" w:hAnsi="Times New Roman" w:eastAsia="仿宋_GB2312" w:cs="仿宋_GB2312"/>
          <w:sz w:val="30"/>
          <w:szCs w:val="30"/>
        </w:rPr>
        <w:tab/>
      </w:r>
    </w:p>
    <w:p w14:paraId="13DE480E">
      <w:pPr>
        <w:keepNext/>
        <w:keepLines/>
        <w:autoSpaceDE w:val="0"/>
        <w:autoSpaceDN w:val="0"/>
        <w:adjustRightInd w:val="0"/>
        <w:spacing w:line="600" w:lineRule="exact"/>
        <w:ind w:firstLine="596" w:firstLineChars="198"/>
        <w:jc w:val="left"/>
        <w:outlineLvl w:val="1"/>
        <w:rPr>
          <w:rFonts w:ascii="Times New Roman" w:hAnsi="Times New Roman" w:eastAsia="黑体" w:cs="黑体"/>
          <w:b/>
          <w:bCs/>
          <w:kern w:val="0"/>
          <w:sz w:val="30"/>
          <w:szCs w:val="30"/>
        </w:rPr>
      </w:pPr>
      <w:r>
        <w:rPr>
          <w:rFonts w:hint="eastAsia" w:ascii="Times New Roman" w:hAnsi="Times New Roman" w:eastAsia="黑体" w:cs="黑体"/>
          <w:b/>
          <w:bCs/>
          <w:kern w:val="0"/>
          <w:sz w:val="30"/>
          <w:szCs w:val="30"/>
        </w:rPr>
        <w:t>八、国有资本经营预算财政拨款收支决算情况说明</w:t>
      </w:r>
    </w:p>
    <w:p w14:paraId="6D8C5A9D">
      <w:pPr>
        <w:autoSpaceDE w:val="0"/>
        <w:autoSpaceDN w:val="0"/>
        <w:adjustRightInd w:val="0"/>
        <w:spacing w:line="600" w:lineRule="exact"/>
        <w:ind w:firstLine="600"/>
        <w:jc w:val="left"/>
        <w:rPr>
          <w:rFonts w:ascii="Times New Roman" w:hAnsi="Times New Roman" w:eastAsia="仿宋_GB2312" w:cs="仿宋_GB2312"/>
          <w:sz w:val="30"/>
          <w:szCs w:val="30"/>
        </w:rPr>
      </w:pPr>
      <w:r>
        <w:rPr>
          <w:rFonts w:hint="eastAsia" w:ascii="Times New Roman" w:hAnsi="Times New Roman" w:eastAsia="仿宋_GB2312" w:cs="仿宋_GB2312"/>
          <w:sz w:val="30"/>
          <w:szCs w:val="30"/>
        </w:rPr>
        <w:t>天津市宝坻区民政综合服务中心2023年度无国有资本经营预算财政拨款收入、支出和结转结余。</w:t>
      </w:r>
    </w:p>
    <w:p w14:paraId="5A501AF5">
      <w:pPr>
        <w:keepNext/>
        <w:keepLines/>
        <w:autoSpaceDE w:val="0"/>
        <w:autoSpaceDN w:val="0"/>
        <w:adjustRightInd w:val="0"/>
        <w:spacing w:line="600" w:lineRule="exact"/>
        <w:ind w:firstLine="602"/>
        <w:jc w:val="left"/>
        <w:outlineLvl w:val="1"/>
        <w:rPr>
          <w:rFonts w:ascii="Times New Roman" w:hAnsi="Times New Roman" w:eastAsia="黑体" w:cs="黑体"/>
          <w:b/>
          <w:bCs/>
          <w:kern w:val="0"/>
          <w:sz w:val="30"/>
          <w:szCs w:val="30"/>
        </w:rPr>
      </w:pPr>
      <w:r>
        <w:rPr>
          <w:rFonts w:hint="eastAsia" w:ascii="Times New Roman" w:hAnsi="Times New Roman" w:eastAsia="黑体" w:cs="黑体"/>
          <w:b/>
          <w:bCs/>
          <w:kern w:val="0"/>
          <w:sz w:val="30"/>
          <w:szCs w:val="30"/>
        </w:rPr>
        <w:t>九、财政拨款</w:t>
      </w:r>
      <w:r>
        <w:rPr>
          <w:rFonts w:ascii="Times New Roman" w:hAnsi="Times New Roman" w:eastAsia="黑体" w:cs="黑体"/>
          <w:b/>
          <w:bCs/>
          <w:kern w:val="0"/>
          <w:sz w:val="30"/>
          <w:szCs w:val="30"/>
        </w:rPr>
        <w:t>“</w:t>
      </w:r>
      <w:r>
        <w:rPr>
          <w:rFonts w:hint="eastAsia" w:ascii="Times New Roman" w:hAnsi="Times New Roman" w:eastAsia="黑体" w:cs="黑体"/>
          <w:b/>
          <w:bCs/>
          <w:kern w:val="0"/>
          <w:sz w:val="30"/>
          <w:szCs w:val="30"/>
        </w:rPr>
        <w:t>三公</w:t>
      </w:r>
      <w:r>
        <w:rPr>
          <w:rFonts w:ascii="Times New Roman" w:hAnsi="Times New Roman" w:eastAsia="黑体" w:cs="黑体"/>
          <w:b/>
          <w:bCs/>
          <w:kern w:val="0"/>
          <w:sz w:val="30"/>
          <w:szCs w:val="30"/>
        </w:rPr>
        <w:t>”</w:t>
      </w:r>
      <w:r>
        <w:rPr>
          <w:rFonts w:hint="eastAsia" w:ascii="Times New Roman" w:hAnsi="Times New Roman" w:eastAsia="黑体" w:cs="黑体"/>
          <w:b/>
          <w:bCs/>
          <w:kern w:val="0"/>
          <w:sz w:val="30"/>
          <w:szCs w:val="30"/>
        </w:rPr>
        <w:t>经费</w:t>
      </w:r>
      <w:r>
        <w:rPr>
          <w:rFonts w:hint="eastAsia" w:ascii="Times New Roman" w:hAnsi="Times New Roman" w:eastAsia="黑体" w:cs="黑体"/>
          <w:b/>
          <w:bCs/>
          <w:kern w:val="0"/>
          <w:sz w:val="30"/>
          <w:szCs w:val="30"/>
          <w:lang w:val="zh-CN"/>
        </w:rPr>
        <w:t>支出决算</w:t>
      </w:r>
      <w:r>
        <w:rPr>
          <w:rFonts w:hint="eastAsia" w:ascii="Times New Roman" w:hAnsi="Times New Roman" w:eastAsia="黑体" w:cs="黑体"/>
          <w:b/>
          <w:bCs/>
          <w:kern w:val="0"/>
          <w:sz w:val="30"/>
          <w:szCs w:val="30"/>
        </w:rPr>
        <w:t>情况</w:t>
      </w:r>
    </w:p>
    <w:p w14:paraId="7E9E325A">
      <w:pPr>
        <w:autoSpaceDE w:val="0"/>
        <w:autoSpaceDN w:val="0"/>
        <w:adjustRightInd w:val="0"/>
        <w:spacing w:line="600" w:lineRule="exact"/>
        <w:ind w:firstLine="602"/>
        <w:jc w:val="left"/>
        <w:rPr>
          <w:rFonts w:ascii="Times New Roman" w:hAnsi="Times New Roman" w:eastAsia="楷体" w:cs="楷体"/>
          <w:b/>
          <w:bCs/>
          <w:kern w:val="0"/>
          <w:sz w:val="30"/>
          <w:szCs w:val="30"/>
        </w:rPr>
      </w:pPr>
      <w:r>
        <w:rPr>
          <w:rFonts w:hint="eastAsia" w:ascii="Times New Roman" w:hAnsi="Times New Roman" w:eastAsia="楷体" w:cs="楷体"/>
          <w:b/>
          <w:bCs/>
          <w:kern w:val="0"/>
          <w:sz w:val="30"/>
          <w:szCs w:val="30"/>
        </w:rPr>
        <w:t>（一）总体情况</w:t>
      </w:r>
      <w:r>
        <w:rPr>
          <w:rFonts w:hint="eastAsia" w:ascii="Times New Roman" w:hAnsi="Times New Roman" w:eastAsia="楷体" w:cs="楷体"/>
          <w:b/>
          <w:bCs/>
          <w:kern w:val="0"/>
          <w:sz w:val="30"/>
          <w:szCs w:val="30"/>
        </w:rPr>
        <w:tab/>
      </w:r>
      <w:r>
        <w:rPr>
          <w:rFonts w:hint="eastAsia" w:ascii="Times New Roman" w:hAnsi="Times New Roman" w:eastAsia="楷体" w:cs="楷体"/>
          <w:b/>
          <w:bCs/>
          <w:kern w:val="0"/>
          <w:sz w:val="30"/>
          <w:szCs w:val="30"/>
        </w:rPr>
        <w:tab/>
      </w:r>
      <w:r>
        <w:rPr>
          <w:rFonts w:hint="eastAsia" w:ascii="Times New Roman" w:hAnsi="Times New Roman" w:eastAsia="楷体" w:cs="楷体"/>
          <w:b/>
          <w:bCs/>
          <w:kern w:val="0"/>
          <w:sz w:val="30"/>
          <w:szCs w:val="30"/>
        </w:rPr>
        <w:tab/>
      </w:r>
      <w:r>
        <w:rPr>
          <w:rFonts w:hint="eastAsia" w:ascii="Times New Roman" w:hAnsi="Times New Roman" w:eastAsia="楷体" w:cs="楷体"/>
          <w:b/>
          <w:bCs/>
          <w:kern w:val="0"/>
          <w:sz w:val="30"/>
          <w:szCs w:val="30"/>
        </w:rPr>
        <w:tab/>
      </w:r>
    </w:p>
    <w:p w14:paraId="7841C435">
      <w:pPr>
        <w:autoSpaceDE w:val="0"/>
        <w:autoSpaceDN w:val="0"/>
        <w:adjustRightInd w:val="0"/>
        <w:spacing w:line="600" w:lineRule="exact"/>
        <w:ind w:firstLine="600"/>
        <w:jc w:val="left"/>
        <w:rPr>
          <w:rFonts w:ascii="Times New Roman" w:hAnsi="Times New Roman" w:eastAsia="仿宋_GB2312" w:cs="Times New Roman"/>
          <w:kern w:val="0"/>
          <w:sz w:val="30"/>
          <w:szCs w:val="30"/>
        </w:rPr>
      </w:pPr>
      <w:r>
        <w:rPr>
          <w:rFonts w:ascii="Times New Roman" w:hAnsi="Times New Roman" w:eastAsia="仿宋_GB2312" w:cs="仿宋_GB2312"/>
          <w:kern w:val="0"/>
          <w:sz w:val="30"/>
          <w:szCs w:val="30"/>
        </w:rPr>
        <w:t>202</w:t>
      </w:r>
      <w:r>
        <w:rPr>
          <w:rFonts w:hint="eastAsia" w:ascii="Times New Roman" w:hAnsi="Times New Roman" w:eastAsia="仿宋_GB2312" w:cs="仿宋_GB2312"/>
          <w:kern w:val="0"/>
          <w:sz w:val="30"/>
          <w:szCs w:val="30"/>
        </w:rPr>
        <w:t>3年财政拨款</w:t>
      </w:r>
      <w:r>
        <w:rPr>
          <w:rFonts w:ascii="Times New Roman" w:hAnsi="Times New Roman" w:eastAsia="仿宋_GB2312" w:cs="仿宋_GB2312"/>
          <w:kern w:val="0"/>
          <w:sz w:val="30"/>
          <w:szCs w:val="30"/>
        </w:rPr>
        <w:t>“</w:t>
      </w:r>
      <w:r>
        <w:rPr>
          <w:rFonts w:hint="eastAsia" w:ascii="Times New Roman" w:hAnsi="Times New Roman" w:eastAsia="仿宋_GB2312" w:cs="仿宋_GB2312"/>
          <w:kern w:val="0"/>
          <w:sz w:val="30"/>
          <w:szCs w:val="30"/>
        </w:rPr>
        <w:t>三公</w:t>
      </w:r>
      <w:r>
        <w:rPr>
          <w:rFonts w:ascii="Times New Roman" w:hAnsi="Times New Roman" w:eastAsia="仿宋_GB2312" w:cs="仿宋_GB2312"/>
          <w:kern w:val="0"/>
          <w:sz w:val="30"/>
          <w:szCs w:val="30"/>
        </w:rPr>
        <w:t>”</w:t>
      </w:r>
      <w:r>
        <w:rPr>
          <w:rFonts w:hint="eastAsia" w:ascii="Times New Roman" w:hAnsi="Times New Roman" w:eastAsia="仿宋_GB2312" w:cs="仿宋_GB2312"/>
          <w:kern w:val="0"/>
          <w:sz w:val="30"/>
          <w:szCs w:val="30"/>
        </w:rPr>
        <w:t>经费预算</w:t>
      </w:r>
      <w:r>
        <w:rPr>
          <w:rFonts w:hint="eastAsia" w:ascii="Times New Roman" w:hAnsi="Times New Roman" w:eastAsia="仿宋_GB2312" w:cs="Times New Roman"/>
          <w:kern w:val="0"/>
          <w:sz w:val="30"/>
          <w:szCs w:val="30"/>
        </w:rPr>
        <w:t>0.00</w:t>
      </w:r>
      <w:r>
        <w:rPr>
          <w:rFonts w:hint="eastAsia" w:ascii="Times New Roman" w:hAnsi="Times New Roman" w:eastAsia="仿宋_GB2312" w:cs="仿宋_GB2312"/>
          <w:kern w:val="0"/>
          <w:sz w:val="30"/>
          <w:szCs w:val="30"/>
        </w:rPr>
        <w:t>元，支出决算</w:t>
      </w:r>
      <w:r>
        <w:rPr>
          <w:rFonts w:hint="eastAsia" w:ascii="Times New Roman" w:hAnsi="Times New Roman" w:eastAsia="仿宋_GB2312" w:cs="Times New Roman"/>
          <w:kern w:val="0"/>
          <w:sz w:val="30"/>
          <w:szCs w:val="30"/>
        </w:rPr>
        <w:t>0.00</w:t>
      </w:r>
      <w:r>
        <w:rPr>
          <w:rFonts w:hint="eastAsia" w:ascii="Times New Roman" w:hAnsi="Times New Roman" w:eastAsia="仿宋_GB2312" w:cs="仿宋_GB2312"/>
          <w:kern w:val="0"/>
          <w:sz w:val="30"/>
          <w:szCs w:val="30"/>
        </w:rPr>
        <w:t>元，与</w:t>
      </w:r>
      <w:r>
        <w:rPr>
          <w:rFonts w:ascii="Times New Roman" w:hAnsi="Times New Roman" w:eastAsia="仿宋_GB2312" w:cs="仿宋_GB2312"/>
          <w:kern w:val="0"/>
          <w:sz w:val="30"/>
          <w:szCs w:val="30"/>
        </w:rPr>
        <w:t>202</w:t>
      </w:r>
      <w:r>
        <w:rPr>
          <w:rFonts w:hint="eastAsia" w:ascii="Times New Roman" w:hAnsi="Times New Roman" w:eastAsia="仿宋_GB2312" w:cs="仿宋_GB2312"/>
          <w:kern w:val="0"/>
          <w:sz w:val="30"/>
          <w:szCs w:val="30"/>
        </w:rPr>
        <w:t>3年预算相比</w:t>
      </w:r>
      <w:r>
        <w:rPr>
          <w:rFonts w:hint="eastAsia" w:ascii="Times New Roman" w:hAnsi="Times New Roman" w:eastAsia="仿宋_GB2312" w:cs="仿宋_GB2312"/>
          <w:sz w:val="30"/>
          <w:szCs w:val="30"/>
        </w:rPr>
        <w:t>持平</w:t>
      </w:r>
      <w:r>
        <w:rPr>
          <w:rFonts w:hint="eastAsia" w:ascii="Times New Roman" w:hAnsi="Times New Roman" w:eastAsia="仿宋_GB2312" w:cs="仿宋_GB2312"/>
          <w:sz w:val="30"/>
          <w:szCs w:val="30"/>
          <w:lang w:eastAsia="zh-CN"/>
        </w:rPr>
        <w:t>，</w:t>
      </w:r>
      <w:r>
        <w:rPr>
          <w:rFonts w:hint="eastAsia" w:ascii="Times New Roman" w:hAnsi="Times New Roman" w:eastAsia="仿宋_GB2312" w:cs="仿宋_GB2312"/>
          <w:kern w:val="0"/>
          <w:sz w:val="30"/>
          <w:szCs w:val="30"/>
        </w:rPr>
        <w:t>较上年</w:t>
      </w:r>
      <w:r>
        <w:rPr>
          <w:rFonts w:hint="eastAsia" w:ascii="Times New Roman" w:hAnsi="Times New Roman" w:eastAsia="仿宋_GB2312" w:cs="仿宋_GB2312"/>
          <w:sz w:val="30"/>
          <w:szCs w:val="30"/>
        </w:rPr>
        <w:t>持平</w:t>
      </w:r>
      <w:r>
        <w:rPr>
          <w:rFonts w:hint="eastAsia" w:ascii="Times New Roman" w:hAnsi="Times New Roman" w:eastAsia="仿宋_GB2312" w:cs="仿宋_GB2312"/>
          <w:kern w:val="0"/>
          <w:sz w:val="30"/>
          <w:szCs w:val="30"/>
        </w:rPr>
        <w:t>。决算数</w:t>
      </w:r>
      <w:r>
        <w:rPr>
          <w:rFonts w:hint="eastAsia" w:ascii="Times New Roman" w:hAnsi="Times New Roman" w:eastAsia="仿宋_GB2312" w:cs="仿宋_GB2312"/>
          <w:sz w:val="30"/>
          <w:szCs w:val="30"/>
        </w:rPr>
        <w:t>等于</w:t>
      </w:r>
      <w:r>
        <w:rPr>
          <w:rFonts w:hint="eastAsia" w:ascii="Times New Roman" w:hAnsi="Times New Roman" w:eastAsia="仿宋_GB2312" w:cs="仿宋_GB2312"/>
          <w:kern w:val="0"/>
          <w:sz w:val="30"/>
          <w:szCs w:val="30"/>
        </w:rPr>
        <w:t>预算数</w:t>
      </w:r>
      <w:r>
        <w:rPr>
          <w:rFonts w:hint="eastAsia" w:ascii="Times New Roman" w:hAnsi="Times New Roman" w:eastAsia="仿宋_GB2312" w:cs="仿宋_GB2312"/>
          <w:kern w:val="0"/>
          <w:sz w:val="30"/>
          <w:szCs w:val="30"/>
          <w:lang w:eastAsia="zh-CN"/>
        </w:rPr>
        <w:t>，且</w:t>
      </w:r>
      <w:r>
        <w:rPr>
          <w:rFonts w:hint="eastAsia" w:ascii="Times New Roman" w:hAnsi="Times New Roman" w:eastAsia="仿宋_GB2312" w:cs="仿宋_GB2312"/>
          <w:kern w:val="0"/>
          <w:sz w:val="30"/>
          <w:szCs w:val="30"/>
        </w:rPr>
        <w:t>较上年</w:t>
      </w:r>
      <w:r>
        <w:rPr>
          <w:rFonts w:hint="eastAsia" w:ascii="Times New Roman" w:hAnsi="Times New Roman" w:eastAsia="仿宋_GB2312" w:cs="仿宋_GB2312"/>
          <w:sz w:val="30"/>
          <w:szCs w:val="30"/>
        </w:rPr>
        <w:t>持平</w:t>
      </w:r>
      <w:r>
        <w:rPr>
          <w:rFonts w:hint="eastAsia" w:ascii="Times New Roman" w:hAnsi="Times New Roman" w:eastAsia="仿宋_GB2312" w:cs="仿宋_GB2312"/>
          <w:kern w:val="0"/>
          <w:sz w:val="30"/>
          <w:szCs w:val="30"/>
        </w:rPr>
        <w:t>的主要原因是：</w:t>
      </w:r>
      <w:r>
        <w:rPr>
          <w:rFonts w:hint="eastAsia" w:ascii="Times New Roman" w:hAnsi="Times New Roman" w:eastAsia="仿宋_GB2312" w:cs="仿宋_GB2312"/>
          <w:sz w:val="30"/>
          <w:szCs w:val="30"/>
        </w:rPr>
        <w:t>本年度未用一般公共预算列支“三公”经费。</w:t>
      </w:r>
    </w:p>
    <w:p w14:paraId="3DDD6C35">
      <w:pPr>
        <w:autoSpaceDE w:val="0"/>
        <w:autoSpaceDN w:val="0"/>
        <w:adjustRightInd w:val="0"/>
        <w:spacing w:line="600" w:lineRule="exact"/>
        <w:ind w:firstLine="602"/>
        <w:jc w:val="left"/>
        <w:rPr>
          <w:rFonts w:ascii="Times New Roman" w:hAnsi="Times New Roman" w:eastAsia="楷体" w:cs="楷体"/>
          <w:b/>
          <w:bCs/>
          <w:kern w:val="0"/>
          <w:sz w:val="30"/>
          <w:szCs w:val="30"/>
        </w:rPr>
      </w:pPr>
      <w:r>
        <w:rPr>
          <w:rFonts w:hint="eastAsia" w:ascii="Times New Roman" w:hAnsi="Times New Roman" w:eastAsia="楷体" w:cs="楷体"/>
          <w:b/>
          <w:bCs/>
          <w:kern w:val="0"/>
          <w:sz w:val="30"/>
          <w:szCs w:val="30"/>
        </w:rPr>
        <w:t>（二）具体情况</w:t>
      </w:r>
    </w:p>
    <w:p w14:paraId="6F10E83E">
      <w:pPr>
        <w:autoSpaceDE w:val="0"/>
        <w:autoSpaceDN w:val="0"/>
        <w:adjustRightInd w:val="0"/>
        <w:spacing w:line="600" w:lineRule="exact"/>
        <w:ind w:firstLine="600"/>
        <w:jc w:val="left"/>
        <w:rPr>
          <w:rFonts w:ascii="Times New Roman" w:hAnsi="Times New Roman" w:eastAsia="仿宋_GB2312" w:cs="仿宋_GB2312"/>
          <w:kern w:val="0"/>
          <w:sz w:val="30"/>
          <w:szCs w:val="30"/>
        </w:rPr>
      </w:pPr>
      <w:r>
        <w:rPr>
          <w:rFonts w:ascii="Times New Roman" w:hAnsi="Times New Roman" w:eastAsia="仿宋_GB2312" w:cs="仿宋_GB2312"/>
          <w:kern w:val="0"/>
          <w:sz w:val="30"/>
          <w:szCs w:val="30"/>
        </w:rPr>
        <w:t>1.</w:t>
      </w:r>
      <w:r>
        <w:rPr>
          <w:rFonts w:hint="eastAsia" w:ascii="Times New Roman" w:hAnsi="Times New Roman" w:eastAsia="仿宋_GB2312" w:cs="仿宋_GB2312"/>
          <w:kern w:val="0"/>
          <w:sz w:val="30"/>
          <w:szCs w:val="30"/>
        </w:rPr>
        <w:t>因公出国（境）费预算</w:t>
      </w:r>
      <w:r>
        <w:rPr>
          <w:rFonts w:hint="eastAsia" w:ascii="Times New Roman" w:hAnsi="Times New Roman" w:eastAsia="仿宋_GB2312" w:cs="Times New Roman"/>
          <w:kern w:val="0"/>
          <w:sz w:val="30"/>
          <w:szCs w:val="30"/>
        </w:rPr>
        <w:t>0.00</w:t>
      </w:r>
      <w:r>
        <w:rPr>
          <w:rFonts w:hint="eastAsia" w:ascii="Times New Roman" w:hAnsi="Times New Roman" w:eastAsia="仿宋_GB2312" w:cs="仿宋_GB2312"/>
          <w:kern w:val="0"/>
          <w:sz w:val="30"/>
          <w:szCs w:val="30"/>
        </w:rPr>
        <w:t>元，支出决算</w:t>
      </w:r>
      <w:r>
        <w:rPr>
          <w:rFonts w:hint="eastAsia" w:ascii="Times New Roman" w:hAnsi="Times New Roman" w:eastAsia="仿宋_GB2312" w:cs="Times New Roman"/>
          <w:kern w:val="0"/>
          <w:sz w:val="30"/>
          <w:szCs w:val="30"/>
        </w:rPr>
        <w:t>0.00</w:t>
      </w:r>
      <w:r>
        <w:rPr>
          <w:rFonts w:hint="eastAsia" w:ascii="Times New Roman" w:hAnsi="Times New Roman" w:eastAsia="仿宋_GB2312" w:cs="仿宋_GB2312"/>
          <w:kern w:val="0"/>
          <w:sz w:val="30"/>
          <w:szCs w:val="30"/>
        </w:rPr>
        <w:t>元，与预算相比</w:t>
      </w:r>
      <w:r>
        <w:rPr>
          <w:rFonts w:hint="eastAsia" w:ascii="Times New Roman" w:hAnsi="Times New Roman" w:eastAsia="仿宋_GB2312" w:cs="仿宋_GB2312"/>
          <w:sz w:val="30"/>
          <w:szCs w:val="30"/>
        </w:rPr>
        <w:t>持平</w:t>
      </w:r>
      <w:r>
        <w:rPr>
          <w:rFonts w:hint="eastAsia" w:ascii="Times New Roman" w:hAnsi="Times New Roman" w:eastAsia="仿宋_GB2312" w:cs="Times New Roman"/>
          <w:kern w:val="0"/>
          <w:sz w:val="30"/>
          <w:szCs w:val="30"/>
          <w:lang w:eastAsia="zh-CN"/>
        </w:rPr>
        <w:t>，</w:t>
      </w:r>
      <w:r>
        <w:rPr>
          <w:rFonts w:hint="eastAsia" w:ascii="Times New Roman" w:hAnsi="Times New Roman" w:eastAsia="仿宋_GB2312" w:cs="仿宋_GB2312"/>
          <w:kern w:val="0"/>
          <w:sz w:val="30"/>
          <w:szCs w:val="30"/>
        </w:rPr>
        <w:t>较上年</w:t>
      </w:r>
      <w:r>
        <w:rPr>
          <w:rFonts w:hint="eastAsia" w:ascii="Times New Roman" w:hAnsi="Times New Roman" w:eastAsia="仿宋_GB2312" w:cs="仿宋_GB2312"/>
          <w:sz w:val="30"/>
          <w:szCs w:val="30"/>
        </w:rPr>
        <w:t>持平</w:t>
      </w:r>
      <w:r>
        <w:rPr>
          <w:rFonts w:hint="eastAsia" w:ascii="Times New Roman" w:hAnsi="Times New Roman" w:eastAsia="仿宋_GB2312" w:cs="仿宋_GB2312"/>
          <w:kern w:val="0"/>
          <w:sz w:val="30"/>
          <w:szCs w:val="30"/>
        </w:rPr>
        <w:t>。决算数</w:t>
      </w:r>
      <w:r>
        <w:rPr>
          <w:rFonts w:hint="eastAsia" w:ascii="Times New Roman" w:hAnsi="Times New Roman" w:eastAsia="仿宋_GB2312" w:cs="仿宋_GB2312"/>
          <w:sz w:val="30"/>
          <w:szCs w:val="30"/>
        </w:rPr>
        <w:t>等于</w:t>
      </w:r>
      <w:r>
        <w:rPr>
          <w:rFonts w:hint="eastAsia" w:ascii="Times New Roman" w:hAnsi="Times New Roman" w:eastAsia="仿宋_GB2312" w:cs="仿宋_GB2312"/>
          <w:kern w:val="0"/>
          <w:sz w:val="30"/>
          <w:szCs w:val="30"/>
        </w:rPr>
        <w:t>预算数</w:t>
      </w:r>
      <w:r>
        <w:rPr>
          <w:rFonts w:hint="eastAsia" w:ascii="Times New Roman" w:hAnsi="Times New Roman" w:eastAsia="仿宋_GB2312" w:cs="仿宋_GB2312"/>
          <w:kern w:val="0"/>
          <w:sz w:val="30"/>
          <w:szCs w:val="30"/>
          <w:lang w:eastAsia="zh-CN"/>
        </w:rPr>
        <w:t>，且</w:t>
      </w:r>
      <w:r>
        <w:rPr>
          <w:rFonts w:hint="eastAsia" w:ascii="Times New Roman" w:hAnsi="Times New Roman" w:eastAsia="仿宋_GB2312" w:cs="仿宋_GB2312"/>
          <w:kern w:val="0"/>
          <w:sz w:val="30"/>
          <w:szCs w:val="30"/>
        </w:rPr>
        <w:t>较上年</w:t>
      </w:r>
      <w:r>
        <w:rPr>
          <w:rFonts w:hint="eastAsia" w:ascii="Times New Roman" w:hAnsi="Times New Roman" w:eastAsia="仿宋_GB2312" w:cs="仿宋_GB2312"/>
          <w:sz w:val="30"/>
          <w:szCs w:val="30"/>
        </w:rPr>
        <w:t>持平</w:t>
      </w:r>
      <w:r>
        <w:rPr>
          <w:rFonts w:hint="eastAsia" w:ascii="Times New Roman" w:hAnsi="Times New Roman" w:eastAsia="仿宋_GB2312" w:cs="仿宋_GB2312"/>
          <w:kern w:val="0"/>
          <w:sz w:val="30"/>
          <w:szCs w:val="30"/>
        </w:rPr>
        <w:t>的主要原因是：</w:t>
      </w:r>
      <w:r>
        <w:rPr>
          <w:rFonts w:hint="eastAsia" w:ascii="Times New Roman" w:hAnsi="Times New Roman" w:eastAsia="仿宋_GB2312" w:cs="仿宋_GB2312"/>
          <w:sz w:val="30"/>
          <w:szCs w:val="30"/>
        </w:rPr>
        <w:t>本年度未用一般公共预算列支因公出国（境）费。</w:t>
      </w:r>
    </w:p>
    <w:p w14:paraId="7053A3D0">
      <w:pPr>
        <w:autoSpaceDE w:val="0"/>
        <w:autoSpaceDN w:val="0"/>
        <w:adjustRightInd w:val="0"/>
        <w:spacing w:line="600" w:lineRule="exact"/>
        <w:ind w:firstLine="600"/>
        <w:jc w:val="left"/>
        <w:rPr>
          <w:rFonts w:ascii="Times New Roman" w:hAnsi="Times New Roman" w:eastAsia="仿宋_GB2312" w:cs="Times New Roman"/>
          <w:kern w:val="0"/>
          <w:sz w:val="30"/>
          <w:szCs w:val="30"/>
        </w:rPr>
      </w:pPr>
      <w:r>
        <w:rPr>
          <w:rFonts w:ascii="Times New Roman" w:hAnsi="Times New Roman" w:eastAsia="仿宋_GB2312" w:cs="仿宋_GB2312"/>
          <w:kern w:val="0"/>
          <w:sz w:val="30"/>
          <w:szCs w:val="30"/>
        </w:rPr>
        <w:t>202</w:t>
      </w:r>
      <w:r>
        <w:rPr>
          <w:rFonts w:hint="eastAsia" w:ascii="Times New Roman" w:hAnsi="Times New Roman" w:eastAsia="仿宋_GB2312" w:cs="仿宋_GB2312"/>
          <w:kern w:val="0"/>
          <w:sz w:val="30"/>
          <w:szCs w:val="30"/>
        </w:rPr>
        <w:t>3年本单位组织的出国团组</w:t>
      </w:r>
      <w:r>
        <w:rPr>
          <w:rFonts w:hint="eastAsia" w:ascii="Times New Roman" w:hAnsi="Times New Roman" w:eastAsia="仿宋_GB2312" w:cs="Times New Roman"/>
          <w:kern w:val="0"/>
          <w:sz w:val="30"/>
          <w:szCs w:val="30"/>
        </w:rPr>
        <w:t>0</w:t>
      </w:r>
      <w:r>
        <w:rPr>
          <w:rFonts w:hint="eastAsia" w:ascii="Times New Roman" w:hAnsi="Times New Roman" w:eastAsia="仿宋_GB2312" w:cs="仿宋_GB2312"/>
          <w:kern w:val="0"/>
          <w:sz w:val="30"/>
          <w:szCs w:val="30"/>
        </w:rPr>
        <w:t>个，出国</w:t>
      </w:r>
      <w:r>
        <w:rPr>
          <w:rFonts w:hint="eastAsia" w:ascii="Times New Roman" w:hAnsi="Times New Roman" w:eastAsia="仿宋_GB2312" w:cs="Times New Roman"/>
          <w:kern w:val="0"/>
          <w:sz w:val="30"/>
          <w:szCs w:val="30"/>
        </w:rPr>
        <w:t>0</w:t>
      </w:r>
      <w:r>
        <w:rPr>
          <w:rFonts w:hint="eastAsia" w:ascii="Times New Roman" w:hAnsi="Times New Roman" w:eastAsia="仿宋_GB2312" w:cs="仿宋_GB2312"/>
          <w:kern w:val="0"/>
          <w:sz w:val="30"/>
          <w:szCs w:val="30"/>
        </w:rPr>
        <w:t>人次。</w:t>
      </w:r>
    </w:p>
    <w:p w14:paraId="347F0D40">
      <w:pPr>
        <w:autoSpaceDE w:val="0"/>
        <w:autoSpaceDN w:val="0"/>
        <w:adjustRightInd w:val="0"/>
        <w:spacing w:line="600" w:lineRule="exact"/>
        <w:ind w:firstLine="600"/>
        <w:jc w:val="left"/>
        <w:rPr>
          <w:rFonts w:ascii="Times New Roman" w:hAnsi="Times New Roman" w:eastAsia="仿宋_GB2312" w:cs="Times New Roman"/>
          <w:kern w:val="0"/>
          <w:sz w:val="30"/>
          <w:szCs w:val="30"/>
        </w:rPr>
      </w:pPr>
      <w:r>
        <w:rPr>
          <w:rFonts w:ascii="Times New Roman" w:hAnsi="Times New Roman" w:eastAsia="仿宋_GB2312" w:cs="仿宋_GB2312"/>
          <w:kern w:val="0"/>
          <w:sz w:val="30"/>
          <w:szCs w:val="30"/>
        </w:rPr>
        <w:t>2.</w:t>
      </w:r>
      <w:r>
        <w:rPr>
          <w:rFonts w:hint="eastAsia" w:ascii="Times New Roman" w:hAnsi="Times New Roman" w:eastAsia="仿宋_GB2312" w:cs="仿宋_GB2312"/>
          <w:kern w:val="0"/>
          <w:sz w:val="30"/>
          <w:szCs w:val="30"/>
        </w:rPr>
        <w:t>公务用车购置及运行维护费预算</w:t>
      </w:r>
      <w:r>
        <w:rPr>
          <w:rFonts w:hint="eastAsia" w:ascii="Times New Roman" w:hAnsi="Times New Roman" w:eastAsia="仿宋_GB2312" w:cs="Times New Roman"/>
          <w:kern w:val="0"/>
          <w:sz w:val="30"/>
          <w:szCs w:val="30"/>
        </w:rPr>
        <w:t>0.00</w:t>
      </w:r>
      <w:r>
        <w:rPr>
          <w:rFonts w:hint="eastAsia" w:ascii="Times New Roman" w:hAnsi="Times New Roman" w:eastAsia="仿宋_GB2312" w:cs="仿宋_GB2312"/>
          <w:kern w:val="0"/>
          <w:sz w:val="30"/>
          <w:szCs w:val="30"/>
        </w:rPr>
        <w:t>元，支出决算</w:t>
      </w:r>
      <w:r>
        <w:rPr>
          <w:rFonts w:hint="eastAsia" w:ascii="Times New Roman" w:hAnsi="Times New Roman" w:eastAsia="仿宋_GB2312" w:cs="Times New Roman"/>
          <w:kern w:val="0"/>
          <w:sz w:val="30"/>
          <w:szCs w:val="30"/>
        </w:rPr>
        <w:t>0.00</w:t>
      </w:r>
      <w:r>
        <w:rPr>
          <w:rFonts w:hint="eastAsia" w:ascii="Times New Roman" w:hAnsi="Times New Roman" w:eastAsia="仿宋_GB2312" w:cs="仿宋_GB2312"/>
          <w:kern w:val="0"/>
          <w:sz w:val="30"/>
          <w:szCs w:val="30"/>
        </w:rPr>
        <w:t>元，与预算相比</w:t>
      </w:r>
      <w:r>
        <w:rPr>
          <w:rFonts w:hint="eastAsia" w:ascii="Times New Roman" w:hAnsi="Times New Roman" w:eastAsia="仿宋_GB2312" w:cs="仿宋_GB2312"/>
          <w:sz w:val="30"/>
          <w:szCs w:val="30"/>
        </w:rPr>
        <w:t>持平</w:t>
      </w:r>
      <w:r>
        <w:rPr>
          <w:rFonts w:hint="eastAsia" w:ascii="Times New Roman" w:hAnsi="Times New Roman" w:eastAsia="仿宋_GB2312" w:cs="Times New Roman"/>
          <w:kern w:val="0"/>
          <w:sz w:val="30"/>
          <w:szCs w:val="30"/>
          <w:lang w:eastAsia="zh-CN"/>
        </w:rPr>
        <w:t>，</w:t>
      </w:r>
      <w:r>
        <w:rPr>
          <w:rFonts w:hint="eastAsia" w:ascii="Times New Roman" w:hAnsi="Times New Roman" w:eastAsia="仿宋_GB2312" w:cs="仿宋_GB2312"/>
          <w:kern w:val="0"/>
          <w:sz w:val="30"/>
          <w:szCs w:val="30"/>
        </w:rPr>
        <w:t>较上年</w:t>
      </w:r>
      <w:r>
        <w:rPr>
          <w:rFonts w:hint="eastAsia" w:ascii="Times New Roman" w:hAnsi="Times New Roman" w:eastAsia="仿宋_GB2312" w:cs="仿宋_GB2312"/>
          <w:sz w:val="30"/>
          <w:szCs w:val="30"/>
        </w:rPr>
        <w:t>持平</w:t>
      </w:r>
      <w:r>
        <w:rPr>
          <w:rFonts w:hint="eastAsia" w:ascii="Times New Roman" w:hAnsi="Times New Roman" w:eastAsia="仿宋_GB2312" w:cs="仿宋_GB2312"/>
          <w:kern w:val="0"/>
          <w:sz w:val="30"/>
          <w:szCs w:val="30"/>
        </w:rPr>
        <w:t>。决算数</w:t>
      </w:r>
      <w:r>
        <w:rPr>
          <w:rFonts w:hint="eastAsia" w:ascii="Times New Roman" w:hAnsi="Times New Roman" w:eastAsia="仿宋_GB2312" w:cs="仿宋_GB2312"/>
          <w:sz w:val="30"/>
          <w:szCs w:val="30"/>
        </w:rPr>
        <w:t>等于</w:t>
      </w:r>
      <w:r>
        <w:rPr>
          <w:rFonts w:hint="eastAsia" w:ascii="Times New Roman" w:hAnsi="Times New Roman" w:eastAsia="仿宋_GB2312" w:cs="仿宋_GB2312"/>
          <w:kern w:val="0"/>
          <w:sz w:val="30"/>
          <w:szCs w:val="30"/>
        </w:rPr>
        <w:t>预算数</w:t>
      </w:r>
      <w:r>
        <w:rPr>
          <w:rFonts w:hint="eastAsia" w:ascii="Times New Roman" w:hAnsi="Times New Roman" w:eastAsia="仿宋_GB2312" w:cs="仿宋_GB2312"/>
          <w:kern w:val="0"/>
          <w:sz w:val="30"/>
          <w:szCs w:val="30"/>
          <w:lang w:eastAsia="zh-CN"/>
        </w:rPr>
        <w:t>，且</w:t>
      </w:r>
      <w:r>
        <w:rPr>
          <w:rFonts w:hint="eastAsia" w:ascii="Times New Roman" w:hAnsi="Times New Roman" w:eastAsia="仿宋_GB2312" w:cs="仿宋_GB2312"/>
          <w:kern w:val="0"/>
          <w:sz w:val="30"/>
          <w:szCs w:val="30"/>
        </w:rPr>
        <w:t>较上年</w:t>
      </w:r>
      <w:r>
        <w:rPr>
          <w:rFonts w:hint="eastAsia" w:ascii="Times New Roman" w:hAnsi="Times New Roman" w:eastAsia="仿宋_GB2312" w:cs="仿宋_GB2312"/>
          <w:sz w:val="30"/>
          <w:szCs w:val="30"/>
        </w:rPr>
        <w:t>持平</w:t>
      </w:r>
      <w:r>
        <w:rPr>
          <w:rFonts w:hint="eastAsia" w:ascii="Times New Roman" w:hAnsi="Times New Roman" w:eastAsia="仿宋_GB2312" w:cs="仿宋_GB2312"/>
          <w:kern w:val="0"/>
          <w:sz w:val="30"/>
          <w:szCs w:val="30"/>
        </w:rPr>
        <w:t>的主要原因是：</w:t>
      </w:r>
      <w:r>
        <w:rPr>
          <w:rFonts w:hint="eastAsia" w:ascii="Times New Roman" w:hAnsi="Times New Roman" w:eastAsia="仿宋_GB2312" w:cs="仿宋_GB2312"/>
          <w:sz w:val="30"/>
          <w:szCs w:val="30"/>
        </w:rPr>
        <w:t>本年度未用一般公共预算列支公车购置及运行维护费。</w:t>
      </w:r>
      <w:r>
        <w:rPr>
          <w:rFonts w:hint="eastAsia" w:ascii="Times New Roman" w:hAnsi="Times New Roman" w:eastAsia="仿宋_GB2312" w:cs="仿宋_GB2312"/>
          <w:kern w:val="0"/>
          <w:sz w:val="30"/>
          <w:szCs w:val="30"/>
        </w:rPr>
        <w:t>其中：</w:t>
      </w:r>
    </w:p>
    <w:p w14:paraId="54C98EC8">
      <w:pPr>
        <w:autoSpaceDE w:val="0"/>
        <w:autoSpaceDN w:val="0"/>
        <w:adjustRightInd w:val="0"/>
        <w:spacing w:line="600" w:lineRule="exact"/>
        <w:ind w:firstLine="600"/>
        <w:jc w:val="left"/>
        <w:rPr>
          <w:rFonts w:hint="eastAsia" w:ascii="Times New Roman" w:hAnsi="Times New Roman" w:eastAsia="仿宋_GB2312" w:cs="仿宋_GB2312"/>
          <w:kern w:val="0"/>
          <w:sz w:val="30"/>
          <w:szCs w:val="30"/>
          <w:lang w:eastAsia="zh-CN"/>
        </w:rPr>
      </w:pPr>
      <w:r>
        <w:rPr>
          <w:rFonts w:hint="eastAsia" w:ascii="Times New Roman" w:hAnsi="Times New Roman" w:eastAsia="仿宋_GB2312" w:cs="仿宋_GB2312"/>
          <w:kern w:val="0"/>
          <w:sz w:val="30"/>
          <w:szCs w:val="30"/>
        </w:rPr>
        <w:t>公务用车运行维护费预算</w:t>
      </w:r>
      <w:r>
        <w:rPr>
          <w:rFonts w:hint="eastAsia" w:ascii="Times New Roman" w:hAnsi="Times New Roman" w:eastAsia="仿宋_GB2312" w:cs="Times New Roman"/>
          <w:kern w:val="0"/>
          <w:sz w:val="30"/>
          <w:szCs w:val="30"/>
        </w:rPr>
        <w:t>0.00</w:t>
      </w:r>
      <w:r>
        <w:rPr>
          <w:rFonts w:hint="eastAsia" w:ascii="Times New Roman" w:hAnsi="Times New Roman" w:eastAsia="仿宋_GB2312" w:cs="仿宋_GB2312"/>
          <w:kern w:val="0"/>
          <w:sz w:val="30"/>
          <w:szCs w:val="30"/>
        </w:rPr>
        <w:t>元，支出决算</w:t>
      </w:r>
      <w:r>
        <w:rPr>
          <w:rFonts w:hint="eastAsia" w:ascii="Times New Roman" w:hAnsi="Times New Roman" w:eastAsia="仿宋_GB2312" w:cs="Times New Roman"/>
          <w:kern w:val="0"/>
          <w:sz w:val="30"/>
          <w:szCs w:val="30"/>
        </w:rPr>
        <w:t>0.00</w:t>
      </w:r>
      <w:r>
        <w:rPr>
          <w:rFonts w:hint="eastAsia" w:ascii="Times New Roman" w:hAnsi="Times New Roman" w:eastAsia="仿宋_GB2312" w:cs="仿宋_GB2312"/>
          <w:kern w:val="0"/>
          <w:sz w:val="30"/>
          <w:szCs w:val="30"/>
        </w:rPr>
        <w:t>元，与预算相比</w:t>
      </w:r>
      <w:r>
        <w:rPr>
          <w:rFonts w:hint="eastAsia" w:ascii="Times New Roman" w:hAnsi="Times New Roman" w:eastAsia="仿宋_GB2312" w:cs="仿宋_GB2312"/>
          <w:sz w:val="30"/>
          <w:szCs w:val="30"/>
        </w:rPr>
        <w:t>持平</w:t>
      </w:r>
      <w:r>
        <w:rPr>
          <w:rFonts w:hint="eastAsia" w:ascii="Times New Roman" w:hAnsi="Times New Roman" w:eastAsia="仿宋_GB2312" w:cs="Times New Roman"/>
          <w:kern w:val="0"/>
          <w:sz w:val="30"/>
          <w:szCs w:val="30"/>
          <w:lang w:eastAsia="zh-CN"/>
        </w:rPr>
        <w:t>，</w:t>
      </w:r>
      <w:r>
        <w:rPr>
          <w:rFonts w:hint="eastAsia" w:ascii="Times New Roman" w:hAnsi="Times New Roman" w:eastAsia="仿宋_GB2312" w:cs="仿宋_GB2312"/>
          <w:kern w:val="0"/>
          <w:sz w:val="30"/>
          <w:szCs w:val="30"/>
        </w:rPr>
        <w:t>较上年</w:t>
      </w:r>
      <w:r>
        <w:rPr>
          <w:rFonts w:hint="eastAsia" w:ascii="Times New Roman" w:hAnsi="Times New Roman" w:eastAsia="仿宋_GB2312" w:cs="仿宋_GB2312"/>
          <w:sz w:val="30"/>
          <w:szCs w:val="30"/>
        </w:rPr>
        <w:t>持平</w:t>
      </w:r>
      <w:r>
        <w:rPr>
          <w:rFonts w:hint="eastAsia" w:ascii="Times New Roman" w:hAnsi="Times New Roman" w:eastAsia="仿宋_GB2312" w:cs="仿宋_GB2312"/>
          <w:kern w:val="0"/>
          <w:sz w:val="30"/>
          <w:szCs w:val="30"/>
        </w:rPr>
        <w:t>。决算数</w:t>
      </w:r>
      <w:r>
        <w:rPr>
          <w:rFonts w:hint="eastAsia" w:ascii="Times New Roman" w:hAnsi="Times New Roman" w:eastAsia="仿宋_GB2312" w:cs="仿宋_GB2312"/>
          <w:sz w:val="30"/>
          <w:szCs w:val="30"/>
        </w:rPr>
        <w:t>等于</w:t>
      </w:r>
      <w:r>
        <w:rPr>
          <w:rFonts w:hint="eastAsia" w:ascii="Times New Roman" w:hAnsi="Times New Roman" w:eastAsia="仿宋_GB2312" w:cs="仿宋_GB2312"/>
          <w:kern w:val="0"/>
          <w:sz w:val="30"/>
          <w:szCs w:val="30"/>
        </w:rPr>
        <w:t>预算数</w:t>
      </w:r>
      <w:r>
        <w:rPr>
          <w:rFonts w:hint="eastAsia" w:ascii="Times New Roman" w:hAnsi="Times New Roman" w:eastAsia="仿宋_GB2312" w:cs="仿宋_GB2312"/>
          <w:kern w:val="0"/>
          <w:sz w:val="30"/>
          <w:szCs w:val="30"/>
          <w:lang w:eastAsia="zh-CN"/>
        </w:rPr>
        <w:t>，且</w:t>
      </w:r>
      <w:r>
        <w:rPr>
          <w:rFonts w:hint="eastAsia" w:ascii="Times New Roman" w:hAnsi="Times New Roman" w:eastAsia="仿宋_GB2312" w:cs="仿宋_GB2312"/>
          <w:kern w:val="0"/>
          <w:sz w:val="30"/>
          <w:szCs w:val="30"/>
        </w:rPr>
        <w:t>较上年</w:t>
      </w:r>
      <w:r>
        <w:rPr>
          <w:rFonts w:hint="eastAsia" w:ascii="Times New Roman" w:hAnsi="Times New Roman" w:eastAsia="仿宋_GB2312" w:cs="仿宋_GB2312"/>
          <w:sz w:val="30"/>
          <w:szCs w:val="30"/>
        </w:rPr>
        <w:t>持平</w:t>
      </w:r>
      <w:r>
        <w:rPr>
          <w:rFonts w:hint="eastAsia" w:ascii="Times New Roman" w:hAnsi="Times New Roman" w:eastAsia="仿宋_GB2312" w:cs="仿宋_GB2312"/>
          <w:kern w:val="0"/>
          <w:sz w:val="30"/>
          <w:szCs w:val="30"/>
        </w:rPr>
        <w:t>的主要原因是：</w:t>
      </w:r>
      <w:r>
        <w:rPr>
          <w:rFonts w:hint="eastAsia" w:ascii="Times New Roman" w:hAnsi="Times New Roman" w:eastAsia="仿宋_GB2312" w:cs="仿宋_GB2312"/>
          <w:sz w:val="30"/>
          <w:szCs w:val="30"/>
        </w:rPr>
        <w:t>本年度未用一般公共预算列支公车运行维护费</w:t>
      </w:r>
      <w:r>
        <w:rPr>
          <w:rFonts w:hint="eastAsia" w:ascii="Times New Roman" w:hAnsi="Times New Roman" w:eastAsia="仿宋_GB2312" w:cs="仿宋_GB2312"/>
          <w:sz w:val="30"/>
          <w:szCs w:val="30"/>
          <w:lang w:eastAsia="zh-CN"/>
        </w:rPr>
        <w:t>。</w:t>
      </w:r>
    </w:p>
    <w:p w14:paraId="299CBF49">
      <w:pPr>
        <w:autoSpaceDE w:val="0"/>
        <w:autoSpaceDN w:val="0"/>
        <w:adjustRightInd w:val="0"/>
        <w:spacing w:line="600" w:lineRule="exact"/>
        <w:ind w:firstLine="600"/>
        <w:jc w:val="left"/>
        <w:rPr>
          <w:rFonts w:ascii="Times New Roman" w:hAnsi="Times New Roman" w:eastAsia="仿宋_GB2312" w:cs="Times New Roman"/>
          <w:kern w:val="0"/>
          <w:sz w:val="30"/>
          <w:szCs w:val="30"/>
        </w:rPr>
      </w:pPr>
      <w:r>
        <w:rPr>
          <w:rFonts w:hint="eastAsia" w:ascii="Times New Roman" w:hAnsi="Times New Roman" w:eastAsia="仿宋_GB2312" w:cs="仿宋_GB2312"/>
          <w:kern w:val="0"/>
          <w:sz w:val="30"/>
          <w:szCs w:val="30"/>
        </w:rPr>
        <w:t>截至</w:t>
      </w:r>
      <w:r>
        <w:rPr>
          <w:rFonts w:ascii="Times New Roman" w:hAnsi="Times New Roman" w:eastAsia="仿宋_GB2312" w:cs="仿宋_GB2312"/>
          <w:kern w:val="0"/>
          <w:sz w:val="30"/>
          <w:szCs w:val="30"/>
        </w:rPr>
        <w:t>202</w:t>
      </w:r>
      <w:r>
        <w:rPr>
          <w:rFonts w:hint="eastAsia" w:ascii="Times New Roman" w:hAnsi="Times New Roman" w:eastAsia="仿宋_GB2312" w:cs="仿宋_GB2312"/>
          <w:kern w:val="0"/>
          <w:sz w:val="30"/>
          <w:szCs w:val="30"/>
        </w:rPr>
        <w:t>3年</w:t>
      </w:r>
      <w:r>
        <w:rPr>
          <w:rFonts w:ascii="Times New Roman" w:hAnsi="Times New Roman" w:eastAsia="仿宋_GB2312" w:cs="仿宋_GB2312"/>
          <w:kern w:val="0"/>
          <w:sz w:val="30"/>
          <w:szCs w:val="30"/>
        </w:rPr>
        <w:t>12</w:t>
      </w:r>
      <w:r>
        <w:rPr>
          <w:rFonts w:hint="eastAsia" w:ascii="Times New Roman" w:hAnsi="Times New Roman" w:eastAsia="仿宋_GB2312" w:cs="仿宋_GB2312"/>
          <w:kern w:val="0"/>
          <w:sz w:val="30"/>
          <w:szCs w:val="30"/>
        </w:rPr>
        <w:t>月</w:t>
      </w:r>
      <w:r>
        <w:rPr>
          <w:rFonts w:ascii="Times New Roman" w:hAnsi="Times New Roman" w:eastAsia="仿宋_GB2312" w:cs="仿宋_GB2312"/>
          <w:kern w:val="0"/>
          <w:sz w:val="30"/>
          <w:szCs w:val="30"/>
        </w:rPr>
        <w:t>31</w:t>
      </w:r>
      <w:r>
        <w:rPr>
          <w:rFonts w:hint="eastAsia" w:ascii="Times New Roman" w:hAnsi="Times New Roman" w:eastAsia="仿宋_GB2312" w:cs="仿宋_GB2312"/>
          <w:kern w:val="0"/>
          <w:sz w:val="30"/>
          <w:szCs w:val="30"/>
        </w:rPr>
        <w:t>日，使用财政拨款开支运行维护费的公务用车保有量为</w:t>
      </w:r>
      <w:r>
        <w:rPr>
          <w:rFonts w:hint="eastAsia" w:ascii="Times New Roman" w:hAnsi="Times New Roman" w:eastAsia="仿宋_GB2312" w:cs="Times New Roman"/>
          <w:kern w:val="0"/>
          <w:sz w:val="30"/>
          <w:szCs w:val="30"/>
        </w:rPr>
        <w:t>0</w:t>
      </w:r>
      <w:r>
        <w:rPr>
          <w:rFonts w:hint="eastAsia" w:ascii="Times New Roman" w:hAnsi="Times New Roman" w:eastAsia="仿宋_GB2312" w:cs="仿宋_GB2312"/>
          <w:kern w:val="0"/>
          <w:sz w:val="30"/>
          <w:szCs w:val="30"/>
        </w:rPr>
        <w:t>辆。</w:t>
      </w:r>
    </w:p>
    <w:p w14:paraId="1E29E203">
      <w:pPr>
        <w:autoSpaceDE w:val="0"/>
        <w:autoSpaceDN w:val="0"/>
        <w:adjustRightInd w:val="0"/>
        <w:spacing w:line="600" w:lineRule="exact"/>
        <w:ind w:firstLine="600"/>
        <w:jc w:val="left"/>
        <w:rPr>
          <w:rFonts w:ascii="Times New Roman" w:hAnsi="Times New Roman" w:eastAsia="仿宋_GB2312" w:cs="仿宋_GB2312"/>
          <w:kern w:val="0"/>
          <w:sz w:val="30"/>
          <w:szCs w:val="30"/>
        </w:rPr>
      </w:pPr>
      <w:r>
        <w:rPr>
          <w:rFonts w:hint="eastAsia" w:ascii="Times New Roman" w:hAnsi="Times New Roman" w:eastAsia="仿宋_GB2312" w:cs="仿宋_GB2312"/>
          <w:kern w:val="0"/>
          <w:sz w:val="30"/>
          <w:szCs w:val="30"/>
        </w:rPr>
        <w:t>公务用车购置费预算</w:t>
      </w:r>
      <w:r>
        <w:rPr>
          <w:rFonts w:hint="eastAsia" w:ascii="Times New Roman" w:hAnsi="Times New Roman" w:eastAsia="仿宋_GB2312" w:cs="Times New Roman"/>
          <w:kern w:val="0"/>
          <w:sz w:val="30"/>
          <w:szCs w:val="30"/>
        </w:rPr>
        <w:t>0.00</w:t>
      </w:r>
      <w:r>
        <w:rPr>
          <w:rFonts w:hint="eastAsia" w:ascii="Times New Roman" w:hAnsi="Times New Roman" w:eastAsia="仿宋_GB2312" w:cs="仿宋_GB2312"/>
          <w:kern w:val="0"/>
          <w:sz w:val="30"/>
          <w:szCs w:val="30"/>
        </w:rPr>
        <w:t>元，支出决算</w:t>
      </w:r>
      <w:r>
        <w:rPr>
          <w:rFonts w:hint="eastAsia" w:ascii="Times New Roman" w:hAnsi="Times New Roman" w:eastAsia="仿宋_GB2312" w:cs="Times New Roman"/>
          <w:kern w:val="0"/>
          <w:sz w:val="30"/>
          <w:szCs w:val="30"/>
        </w:rPr>
        <w:t>0.00</w:t>
      </w:r>
      <w:r>
        <w:rPr>
          <w:rFonts w:hint="eastAsia" w:ascii="Times New Roman" w:hAnsi="Times New Roman" w:eastAsia="仿宋_GB2312" w:cs="仿宋_GB2312"/>
          <w:kern w:val="0"/>
          <w:sz w:val="30"/>
          <w:szCs w:val="30"/>
        </w:rPr>
        <w:t>元，与预算相比</w:t>
      </w:r>
      <w:r>
        <w:rPr>
          <w:rFonts w:hint="eastAsia" w:ascii="Times New Roman" w:hAnsi="Times New Roman" w:eastAsia="仿宋_GB2312" w:cs="仿宋_GB2312"/>
          <w:sz w:val="30"/>
          <w:szCs w:val="30"/>
        </w:rPr>
        <w:t>持平</w:t>
      </w:r>
      <w:r>
        <w:rPr>
          <w:rFonts w:hint="eastAsia" w:ascii="Times New Roman" w:hAnsi="Times New Roman" w:eastAsia="仿宋_GB2312" w:cs="Times New Roman"/>
          <w:kern w:val="0"/>
          <w:sz w:val="30"/>
          <w:szCs w:val="30"/>
          <w:lang w:eastAsia="zh-CN"/>
        </w:rPr>
        <w:t>，</w:t>
      </w:r>
      <w:r>
        <w:rPr>
          <w:rFonts w:hint="eastAsia" w:ascii="Times New Roman" w:hAnsi="Times New Roman" w:eastAsia="仿宋_GB2312" w:cs="仿宋_GB2312"/>
          <w:kern w:val="0"/>
          <w:sz w:val="30"/>
          <w:szCs w:val="30"/>
        </w:rPr>
        <w:t>较上年</w:t>
      </w:r>
      <w:r>
        <w:rPr>
          <w:rFonts w:hint="eastAsia" w:ascii="Times New Roman" w:hAnsi="Times New Roman" w:eastAsia="仿宋_GB2312" w:cs="仿宋_GB2312"/>
          <w:sz w:val="30"/>
          <w:szCs w:val="30"/>
        </w:rPr>
        <w:t>持平</w:t>
      </w:r>
      <w:r>
        <w:rPr>
          <w:rFonts w:hint="eastAsia" w:ascii="Times New Roman" w:hAnsi="Times New Roman" w:eastAsia="仿宋_GB2312" w:cs="仿宋_GB2312"/>
          <w:kern w:val="0"/>
          <w:sz w:val="30"/>
          <w:szCs w:val="30"/>
        </w:rPr>
        <w:t>。决算数</w:t>
      </w:r>
      <w:r>
        <w:rPr>
          <w:rFonts w:hint="eastAsia" w:ascii="Times New Roman" w:hAnsi="Times New Roman" w:eastAsia="仿宋_GB2312" w:cs="仿宋_GB2312"/>
          <w:sz w:val="30"/>
          <w:szCs w:val="30"/>
        </w:rPr>
        <w:t>等于</w:t>
      </w:r>
      <w:r>
        <w:rPr>
          <w:rFonts w:hint="eastAsia" w:ascii="Times New Roman" w:hAnsi="Times New Roman" w:eastAsia="仿宋_GB2312" w:cs="仿宋_GB2312"/>
          <w:kern w:val="0"/>
          <w:sz w:val="30"/>
          <w:szCs w:val="30"/>
        </w:rPr>
        <w:t>预算数</w:t>
      </w:r>
      <w:r>
        <w:rPr>
          <w:rFonts w:hint="eastAsia" w:ascii="Times New Roman" w:hAnsi="Times New Roman" w:eastAsia="仿宋_GB2312" w:cs="仿宋_GB2312"/>
          <w:kern w:val="0"/>
          <w:sz w:val="30"/>
          <w:szCs w:val="30"/>
          <w:lang w:eastAsia="zh-CN"/>
        </w:rPr>
        <w:t>，且</w:t>
      </w:r>
      <w:r>
        <w:rPr>
          <w:rFonts w:hint="eastAsia" w:ascii="Times New Roman" w:hAnsi="Times New Roman" w:eastAsia="仿宋_GB2312" w:cs="仿宋_GB2312"/>
          <w:kern w:val="0"/>
          <w:sz w:val="30"/>
          <w:szCs w:val="30"/>
        </w:rPr>
        <w:t>较上年</w:t>
      </w:r>
      <w:r>
        <w:rPr>
          <w:rFonts w:hint="eastAsia" w:ascii="Times New Roman" w:hAnsi="Times New Roman" w:eastAsia="仿宋_GB2312" w:cs="仿宋_GB2312"/>
          <w:sz w:val="30"/>
          <w:szCs w:val="30"/>
        </w:rPr>
        <w:t>持平</w:t>
      </w:r>
      <w:r>
        <w:rPr>
          <w:rFonts w:hint="eastAsia" w:ascii="Times New Roman" w:hAnsi="Times New Roman" w:eastAsia="仿宋_GB2312" w:cs="仿宋_GB2312"/>
          <w:kern w:val="0"/>
          <w:sz w:val="30"/>
          <w:szCs w:val="30"/>
        </w:rPr>
        <w:t>的主要原因是：</w:t>
      </w:r>
      <w:r>
        <w:rPr>
          <w:rFonts w:hint="eastAsia" w:ascii="Times New Roman" w:hAnsi="Times New Roman" w:eastAsia="仿宋_GB2312" w:cs="仿宋_GB2312"/>
          <w:sz w:val="30"/>
          <w:szCs w:val="30"/>
        </w:rPr>
        <w:t>本年度未用一般公共预算执行公车购置。</w:t>
      </w:r>
    </w:p>
    <w:p w14:paraId="6C3B396F">
      <w:pPr>
        <w:autoSpaceDE w:val="0"/>
        <w:autoSpaceDN w:val="0"/>
        <w:adjustRightInd w:val="0"/>
        <w:spacing w:line="600" w:lineRule="exact"/>
        <w:ind w:firstLine="600"/>
        <w:jc w:val="left"/>
        <w:rPr>
          <w:rFonts w:ascii="Times New Roman" w:hAnsi="Times New Roman" w:eastAsia="仿宋_GB2312" w:cs="仿宋_GB2312"/>
          <w:kern w:val="0"/>
          <w:sz w:val="30"/>
          <w:szCs w:val="30"/>
        </w:rPr>
      </w:pPr>
      <w:r>
        <w:rPr>
          <w:rFonts w:ascii="Times New Roman" w:hAnsi="Times New Roman" w:eastAsia="仿宋_GB2312" w:cs="仿宋_GB2312"/>
          <w:kern w:val="0"/>
          <w:sz w:val="30"/>
          <w:szCs w:val="30"/>
        </w:rPr>
        <w:t>202</w:t>
      </w:r>
      <w:r>
        <w:rPr>
          <w:rFonts w:hint="eastAsia" w:ascii="Times New Roman" w:hAnsi="Times New Roman" w:eastAsia="仿宋_GB2312" w:cs="仿宋_GB2312"/>
          <w:kern w:val="0"/>
          <w:sz w:val="30"/>
          <w:szCs w:val="30"/>
        </w:rPr>
        <w:t>3年购置公务用车</w:t>
      </w:r>
      <w:r>
        <w:rPr>
          <w:rFonts w:hint="eastAsia" w:ascii="Times New Roman" w:hAnsi="Times New Roman" w:eastAsia="仿宋_GB2312" w:cs="Times New Roman"/>
          <w:kern w:val="0"/>
          <w:sz w:val="30"/>
          <w:szCs w:val="30"/>
        </w:rPr>
        <w:t>0</w:t>
      </w:r>
      <w:r>
        <w:rPr>
          <w:rFonts w:hint="eastAsia" w:ascii="Times New Roman" w:hAnsi="Times New Roman" w:eastAsia="仿宋_GB2312" w:cs="仿宋_GB2312"/>
          <w:kern w:val="0"/>
          <w:sz w:val="30"/>
          <w:szCs w:val="30"/>
        </w:rPr>
        <w:t>辆。</w:t>
      </w:r>
    </w:p>
    <w:p w14:paraId="09CA47A0">
      <w:pPr>
        <w:autoSpaceDE w:val="0"/>
        <w:autoSpaceDN w:val="0"/>
        <w:adjustRightInd w:val="0"/>
        <w:spacing w:line="600" w:lineRule="exact"/>
        <w:ind w:firstLine="645"/>
        <w:jc w:val="left"/>
        <w:rPr>
          <w:rFonts w:ascii="Times New Roman" w:hAnsi="Times New Roman" w:eastAsia="仿宋_GB2312" w:cs="仿宋_GB2312"/>
          <w:kern w:val="0"/>
          <w:sz w:val="30"/>
          <w:szCs w:val="30"/>
        </w:rPr>
      </w:pPr>
      <w:r>
        <w:rPr>
          <w:rFonts w:ascii="Times New Roman" w:hAnsi="Times New Roman" w:eastAsia="仿宋_GB2312" w:cs="仿宋_GB2312"/>
          <w:kern w:val="0"/>
          <w:sz w:val="30"/>
          <w:szCs w:val="30"/>
        </w:rPr>
        <w:t>3.</w:t>
      </w:r>
      <w:r>
        <w:rPr>
          <w:rFonts w:hint="eastAsia" w:ascii="Times New Roman" w:hAnsi="Times New Roman" w:eastAsia="仿宋_GB2312" w:cs="仿宋_GB2312"/>
          <w:kern w:val="0"/>
          <w:sz w:val="30"/>
          <w:szCs w:val="30"/>
        </w:rPr>
        <w:t>公务接待费预算</w:t>
      </w:r>
      <w:r>
        <w:rPr>
          <w:rFonts w:hint="eastAsia" w:ascii="Times New Roman" w:hAnsi="Times New Roman" w:eastAsia="仿宋_GB2312" w:cs="Times New Roman"/>
          <w:kern w:val="0"/>
          <w:sz w:val="30"/>
          <w:szCs w:val="30"/>
        </w:rPr>
        <w:t>0.00</w:t>
      </w:r>
      <w:r>
        <w:rPr>
          <w:rFonts w:hint="eastAsia" w:ascii="Times New Roman" w:hAnsi="Times New Roman" w:eastAsia="仿宋_GB2312" w:cs="仿宋_GB2312"/>
          <w:kern w:val="0"/>
          <w:sz w:val="30"/>
          <w:szCs w:val="30"/>
        </w:rPr>
        <w:t>元，支出决算</w:t>
      </w:r>
      <w:r>
        <w:rPr>
          <w:rFonts w:hint="eastAsia" w:ascii="Times New Roman" w:hAnsi="Times New Roman" w:eastAsia="仿宋_GB2312" w:cs="Times New Roman"/>
          <w:kern w:val="0"/>
          <w:sz w:val="30"/>
          <w:szCs w:val="30"/>
        </w:rPr>
        <w:t>0.00</w:t>
      </w:r>
      <w:r>
        <w:rPr>
          <w:rFonts w:hint="eastAsia" w:ascii="Times New Roman" w:hAnsi="Times New Roman" w:eastAsia="仿宋_GB2312" w:cs="仿宋_GB2312"/>
          <w:kern w:val="0"/>
          <w:sz w:val="30"/>
          <w:szCs w:val="30"/>
        </w:rPr>
        <w:t>元，与预算相比</w:t>
      </w:r>
      <w:r>
        <w:rPr>
          <w:rFonts w:hint="eastAsia" w:ascii="Times New Roman" w:hAnsi="Times New Roman" w:eastAsia="仿宋_GB2312" w:cs="仿宋_GB2312"/>
          <w:sz w:val="30"/>
          <w:szCs w:val="30"/>
        </w:rPr>
        <w:t>持平</w:t>
      </w:r>
      <w:r>
        <w:rPr>
          <w:rFonts w:hint="eastAsia" w:ascii="Times New Roman" w:hAnsi="Times New Roman" w:eastAsia="仿宋_GB2312" w:cs="Times New Roman"/>
          <w:kern w:val="0"/>
          <w:sz w:val="30"/>
          <w:szCs w:val="30"/>
          <w:lang w:eastAsia="zh-CN"/>
        </w:rPr>
        <w:t>，</w:t>
      </w:r>
      <w:r>
        <w:rPr>
          <w:rFonts w:hint="eastAsia" w:ascii="Times New Roman" w:hAnsi="Times New Roman" w:eastAsia="仿宋_GB2312" w:cs="仿宋_GB2312"/>
          <w:kern w:val="0"/>
          <w:sz w:val="30"/>
          <w:szCs w:val="30"/>
        </w:rPr>
        <w:t>较上年</w:t>
      </w:r>
      <w:r>
        <w:rPr>
          <w:rFonts w:hint="eastAsia" w:ascii="Times New Roman" w:hAnsi="Times New Roman" w:eastAsia="仿宋_GB2312" w:cs="仿宋_GB2312"/>
          <w:sz w:val="30"/>
          <w:szCs w:val="30"/>
        </w:rPr>
        <w:t>持平</w:t>
      </w:r>
      <w:r>
        <w:rPr>
          <w:rFonts w:hint="eastAsia" w:ascii="Times New Roman" w:hAnsi="Times New Roman" w:eastAsia="仿宋_GB2312" w:cs="仿宋_GB2312"/>
          <w:kern w:val="0"/>
          <w:sz w:val="30"/>
          <w:szCs w:val="30"/>
        </w:rPr>
        <w:t>。决算数</w:t>
      </w:r>
      <w:r>
        <w:rPr>
          <w:rFonts w:hint="eastAsia" w:ascii="Times New Roman" w:hAnsi="Times New Roman" w:eastAsia="仿宋_GB2312" w:cs="仿宋_GB2312"/>
          <w:sz w:val="30"/>
          <w:szCs w:val="30"/>
        </w:rPr>
        <w:t>等于</w:t>
      </w:r>
      <w:r>
        <w:rPr>
          <w:rFonts w:hint="eastAsia" w:ascii="Times New Roman" w:hAnsi="Times New Roman" w:eastAsia="仿宋_GB2312" w:cs="仿宋_GB2312"/>
          <w:kern w:val="0"/>
          <w:sz w:val="30"/>
          <w:szCs w:val="30"/>
        </w:rPr>
        <w:t>预算数</w:t>
      </w:r>
      <w:r>
        <w:rPr>
          <w:rFonts w:hint="eastAsia" w:ascii="Times New Roman" w:hAnsi="Times New Roman" w:eastAsia="仿宋_GB2312" w:cs="仿宋_GB2312"/>
          <w:kern w:val="0"/>
          <w:sz w:val="30"/>
          <w:szCs w:val="30"/>
          <w:lang w:eastAsia="zh-CN"/>
        </w:rPr>
        <w:t>，且</w:t>
      </w:r>
      <w:r>
        <w:rPr>
          <w:rFonts w:hint="eastAsia" w:ascii="Times New Roman" w:hAnsi="Times New Roman" w:eastAsia="仿宋_GB2312" w:cs="仿宋_GB2312"/>
          <w:kern w:val="0"/>
          <w:sz w:val="30"/>
          <w:szCs w:val="30"/>
        </w:rPr>
        <w:t>较上年</w:t>
      </w:r>
      <w:r>
        <w:rPr>
          <w:rFonts w:hint="eastAsia" w:ascii="Times New Roman" w:hAnsi="Times New Roman" w:eastAsia="仿宋_GB2312" w:cs="仿宋_GB2312"/>
          <w:sz w:val="30"/>
          <w:szCs w:val="30"/>
        </w:rPr>
        <w:t>持平</w:t>
      </w:r>
      <w:r>
        <w:rPr>
          <w:rFonts w:hint="eastAsia" w:ascii="Times New Roman" w:hAnsi="Times New Roman" w:eastAsia="仿宋_GB2312" w:cs="仿宋_GB2312"/>
          <w:kern w:val="0"/>
          <w:sz w:val="30"/>
          <w:szCs w:val="30"/>
        </w:rPr>
        <w:t>的主要原因是：</w:t>
      </w:r>
      <w:r>
        <w:rPr>
          <w:rFonts w:hint="eastAsia" w:ascii="Times New Roman" w:hAnsi="Times New Roman" w:eastAsia="仿宋_GB2312" w:cs="仿宋_GB2312"/>
          <w:sz w:val="30"/>
          <w:szCs w:val="30"/>
        </w:rPr>
        <w:t>本年度未用一般公共预算列支公务接待费。</w:t>
      </w:r>
    </w:p>
    <w:p w14:paraId="6C846C70">
      <w:pPr>
        <w:autoSpaceDE w:val="0"/>
        <w:autoSpaceDN w:val="0"/>
        <w:adjustRightInd w:val="0"/>
        <w:spacing w:line="600" w:lineRule="exact"/>
        <w:ind w:firstLine="645"/>
        <w:jc w:val="left"/>
        <w:rPr>
          <w:rFonts w:ascii="Times New Roman" w:hAnsi="Times New Roman" w:eastAsia="仿宋_GB2312" w:cs="仿宋_GB2312"/>
          <w:kern w:val="0"/>
          <w:sz w:val="30"/>
          <w:szCs w:val="30"/>
        </w:rPr>
      </w:pPr>
      <w:r>
        <w:rPr>
          <w:rFonts w:ascii="Times New Roman" w:hAnsi="Times New Roman" w:eastAsia="仿宋_GB2312" w:cs="仿宋_GB2312"/>
          <w:kern w:val="0"/>
          <w:sz w:val="30"/>
          <w:szCs w:val="30"/>
        </w:rPr>
        <w:t>202</w:t>
      </w:r>
      <w:r>
        <w:rPr>
          <w:rFonts w:hint="eastAsia" w:ascii="Times New Roman" w:hAnsi="Times New Roman" w:eastAsia="仿宋_GB2312" w:cs="仿宋_GB2312"/>
          <w:kern w:val="0"/>
          <w:sz w:val="30"/>
          <w:szCs w:val="30"/>
        </w:rPr>
        <w:t>3年本单位国内公务接待</w:t>
      </w:r>
      <w:r>
        <w:rPr>
          <w:rFonts w:hint="eastAsia" w:ascii="Times New Roman" w:hAnsi="Times New Roman" w:eastAsia="仿宋_GB2312" w:cs="Times New Roman"/>
          <w:kern w:val="0"/>
          <w:sz w:val="30"/>
          <w:szCs w:val="30"/>
        </w:rPr>
        <w:t>0</w:t>
      </w:r>
      <w:r>
        <w:rPr>
          <w:rFonts w:hint="eastAsia" w:ascii="Times New Roman" w:hAnsi="Times New Roman" w:eastAsia="仿宋_GB2312" w:cs="仿宋_GB2312"/>
          <w:kern w:val="0"/>
          <w:sz w:val="30"/>
          <w:szCs w:val="30"/>
        </w:rPr>
        <w:t>批次，</w:t>
      </w:r>
      <w:r>
        <w:rPr>
          <w:rFonts w:hint="eastAsia" w:ascii="Times New Roman" w:hAnsi="Times New Roman" w:eastAsia="仿宋_GB2312" w:cs="Times New Roman"/>
          <w:kern w:val="0"/>
          <w:sz w:val="30"/>
          <w:szCs w:val="30"/>
        </w:rPr>
        <w:t>0</w:t>
      </w:r>
      <w:r>
        <w:rPr>
          <w:rFonts w:hint="eastAsia" w:ascii="Times New Roman" w:hAnsi="Times New Roman" w:eastAsia="仿宋_GB2312" w:cs="仿宋_GB2312"/>
          <w:kern w:val="0"/>
          <w:sz w:val="30"/>
          <w:szCs w:val="30"/>
        </w:rPr>
        <w:t>人次；其中，外事接待</w:t>
      </w:r>
      <w:r>
        <w:rPr>
          <w:rFonts w:hint="eastAsia" w:ascii="Times New Roman" w:hAnsi="Times New Roman" w:eastAsia="仿宋_GB2312" w:cs="Times New Roman"/>
          <w:kern w:val="0"/>
          <w:sz w:val="30"/>
          <w:szCs w:val="30"/>
        </w:rPr>
        <w:t>0</w:t>
      </w:r>
      <w:r>
        <w:rPr>
          <w:rFonts w:hint="eastAsia" w:ascii="Times New Roman" w:hAnsi="Times New Roman" w:eastAsia="仿宋_GB2312" w:cs="仿宋_GB2312"/>
          <w:kern w:val="0"/>
          <w:sz w:val="30"/>
          <w:szCs w:val="30"/>
        </w:rPr>
        <w:t>批次，</w:t>
      </w:r>
      <w:r>
        <w:rPr>
          <w:rFonts w:hint="eastAsia" w:ascii="Times New Roman" w:hAnsi="Times New Roman" w:eastAsia="仿宋_GB2312" w:cs="Times New Roman"/>
          <w:kern w:val="0"/>
          <w:sz w:val="30"/>
          <w:szCs w:val="30"/>
        </w:rPr>
        <w:t>0</w:t>
      </w:r>
      <w:r>
        <w:rPr>
          <w:rFonts w:hint="eastAsia" w:ascii="Times New Roman" w:hAnsi="Times New Roman" w:eastAsia="仿宋_GB2312" w:cs="仿宋_GB2312"/>
          <w:kern w:val="0"/>
          <w:sz w:val="30"/>
          <w:szCs w:val="30"/>
        </w:rPr>
        <w:t>人次。</w:t>
      </w:r>
    </w:p>
    <w:p w14:paraId="6CFDD122">
      <w:pPr>
        <w:keepNext/>
        <w:keepLines/>
        <w:autoSpaceDE w:val="0"/>
        <w:autoSpaceDN w:val="0"/>
        <w:adjustRightInd w:val="0"/>
        <w:spacing w:line="600" w:lineRule="exact"/>
        <w:ind w:firstLine="602"/>
        <w:jc w:val="left"/>
        <w:outlineLvl w:val="1"/>
        <w:rPr>
          <w:rFonts w:ascii="Times New Roman" w:hAnsi="Times New Roman" w:eastAsia="黑体" w:cs="黑体"/>
          <w:b/>
          <w:bCs/>
          <w:kern w:val="0"/>
          <w:sz w:val="30"/>
          <w:szCs w:val="30"/>
        </w:rPr>
      </w:pPr>
      <w:r>
        <w:rPr>
          <w:rFonts w:hint="eastAsia" w:ascii="Times New Roman" w:hAnsi="Times New Roman" w:eastAsia="黑体" w:cs="黑体"/>
          <w:b/>
          <w:bCs/>
          <w:kern w:val="0"/>
          <w:sz w:val="30"/>
          <w:szCs w:val="30"/>
        </w:rPr>
        <w:t>十、机关运行经费支出情况说明</w:t>
      </w:r>
    </w:p>
    <w:p w14:paraId="3A550989">
      <w:pPr>
        <w:autoSpaceDE w:val="0"/>
        <w:autoSpaceDN w:val="0"/>
        <w:adjustRightInd w:val="0"/>
        <w:spacing w:line="600" w:lineRule="exact"/>
        <w:ind w:firstLine="600"/>
        <w:jc w:val="left"/>
        <w:rPr>
          <w:rFonts w:ascii="Times New Roman" w:hAnsi="Times New Roman" w:eastAsia="仿宋_GB2312" w:cs="仿宋_GB2312"/>
          <w:sz w:val="30"/>
          <w:szCs w:val="30"/>
        </w:rPr>
      </w:pPr>
      <w:r>
        <w:rPr>
          <w:rFonts w:hint="eastAsia" w:ascii="Times New Roman" w:hAnsi="Times New Roman" w:eastAsia="仿宋_GB2312" w:cs="仿宋_GB2312"/>
          <w:sz w:val="30"/>
          <w:szCs w:val="30"/>
        </w:rPr>
        <w:t>天津市宝坻区民政综合服务中心2023年度无机关运行经费。</w:t>
      </w:r>
    </w:p>
    <w:p w14:paraId="5741A844">
      <w:pPr>
        <w:keepNext/>
        <w:keepLines/>
        <w:autoSpaceDE w:val="0"/>
        <w:autoSpaceDN w:val="0"/>
        <w:adjustRightInd w:val="0"/>
        <w:spacing w:line="600" w:lineRule="exact"/>
        <w:ind w:firstLine="602"/>
        <w:jc w:val="left"/>
        <w:outlineLvl w:val="1"/>
        <w:rPr>
          <w:rFonts w:ascii="Times New Roman" w:hAnsi="Times New Roman" w:eastAsia="黑体" w:cs="黑体"/>
          <w:b/>
          <w:bCs/>
          <w:kern w:val="0"/>
          <w:sz w:val="30"/>
          <w:szCs w:val="30"/>
        </w:rPr>
      </w:pPr>
      <w:r>
        <w:rPr>
          <w:rFonts w:hint="eastAsia" w:ascii="Times New Roman" w:hAnsi="Times New Roman" w:eastAsia="黑体" w:cs="黑体"/>
          <w:b/>
          <w:bCs/>
          <w:kern w:val="0"/>
          <w:sz w:val="30"/>
          <w:szCs w:val="30"/>
        </w:rPr>
        <w:t>十一、政府采购支出情况说明</w:t>
      </w:r>
    </w:p>
    <w:p w14:paraId="24D2DD39">
      <w:pPr>
        <w:autoSpaceDE w:val="0"/>
        <w:autoSpaceDN w:val="0"/>
        <w:adjustRightInd w:val="0"/>
        <w:spacing w:line="600" w:lineRule="exact"/>
        <w:ind w:firstLine="600"/>
        <w:jc w:val="left"/>
        <w:rPr>
          <w:rFonts w:ascii="Times New Roman" w:hAnsi="Times New Roman" w:eastAsia="楷体" w:cs="Times New Roman"/>
          <w:kern w:val="0"/>
          <w:sz w:val="30"/>
          <w:szCs w:val="30"/>
        </w:rPr>
      </w:pPr>
      <w:r>
        <w:rPr>
          <w:rFonts w:hint="eastAsia" w:ascii="Times New Roman" w:hAnsi="Times New Roman" w:eastAsia="仿宋_GB2312" w:cs="仿宋_GB2312"/>
          <w:sz w:val="30"/>
          <w:szCs w:val="30"/>
        </w:rPr>
        <w:t>天津市宝坻区民政综合服务中心2023年度无政府采购支出。</w:t>
      </w:r>
    </w:p>
    <w:p w14:paraId="1FFDEC72">
      <w:pPr>
        <w:keepNext/>
        <w:keepLines/>
        <w:autoSpaceDE w:val="0"/>
        <w:autoSpaceDN w:val="0"/>
        <w:adjustRightInd w:val="0"/>
        <w:spacing w:line="600" w:lineRule="exact"/>
        <w:ind w:firstLine="602"/>
        <w:jc w:val="left"/>
        <w:outlineLvl w:val="1"/>
        <w:rPr>
          <w:rFonts w:ascii="Times New Roman" w:hAnsi="Times New Roman" w:eastAsia="黑体" w:cs="黑体"/>
          <w:b/>
          <w:bCs/>
          <w:kern w:val="0"/>
          <w:sz w:val="30"/>
          <w:szCs w:val="30"/>
        </w:rPr>
      </w:pPr>
      <w:r>
        <w:rPr>
          <w:rFonts w:hint="eastAsia" w:ascii="Times New Roman" w:hAnsi="Times New Roman" w:eastAsia="黑体" w:cs="黑体"/>
          <w:b/>
          <w:bCs/>
          <w:kern w:val="0"/>
          <w:sz w:val="30"/>
          <w:szCs w:val="30"/>
          <w:lang w:val="zh-CN"/>
        </w:rPr>
        <w:t>十二、</w:t>
      </w:r>
      <w:r>
        <w:rPr>
          <w:rFonts w:hint="eastAsia" w:ascii="Times New Roman" w:hAnsi="Times New Roman" w:eastAsia="黑体" w:cs="黑体"/>
          <w:b/>
          <w:bCs/>
          <w:kern w:val="0"/>
          <w:sz w:val="30"/>
          <w:szCs w:val="30"/>
        </w:rPr>
        <w:t>国有资产占有使用情况说明</w:t>
      </w:r>
    </w:p>
    <w:p w14:paraId="00610FE8">
      <w:pPr>
        <w:autoSpaceDE w:val="0"/>
        <w:autoSpaceDN w:val="0"/>
        <w:adjustRightInd w:val="0"/>
        <w:spacing w:line="600" w:lineRule="exact"/>
        <w:ind w:firstLine="600"/>
        <w:jc w:val="left"/>
        <w:rPr>
          <w:rFonts w:ascii="Times New Roman" w:hAnsi="Times New Roman" w:eastAsia="仿宋_GB2312" w:cs="仿宋_GB2312"/>
          <w:sz w:val="30"/>
          <w:szCs w:val="30"/>
        </w:rPr>
      </w:pPr>
      <w:r>
        <w:rPr>
          <w:rFonts w:hint="eastAsia" w:ascii="Times New Roman" w:hAnsi="Times New Roman" w:eastAsia="仿宋_GB2312" w:cs="仿宋_GB2312"/>
          <w:sz w:val="30"/>
          <w:szCs w:val="30"/>
        </w:rPr>
        <w:t>天津市宝坻区民政综合服务中心2023年度无国有资产占有使用情况。</w:t>
      </w:r>
    </w:p>
    <w:p w14:paraId="7DF36384">
      <w:pPr>
        <w:keepNext/>
        <w:keepLines/>
        <w:autoSpaceDE w:val="0"/>
        <w:autoSpaceDN w:val="0"/>
        <w:adjustRightInd w:val="0"/>
        <w:spacing w:line="600" w:lineRule="exact"/>
        <w:ind w:firstLine="602"/>
        <w:jc w:val="left"/>
        <w:outlineLvl w:val="1"/>
        <w:rPr>
          <w:rFonts w:ascii="Times New Roman" w:hAnsi="Times New Roman" w:eastAsia="黑体" w:cs="黑体"/>
          <w:b/>
          <w:bCs/>
          <w:kern w:val="0"/>
          <w:sz w:val="30"/>
          <w:szCs w:val="30"/>
        </w:rPr>
      </w:pPr>
      <w:r>
        <w:rPr>
          <w:rFonts w:hint="eastAsia" w:ascii="Times New Roman" w:hAnsi="Times New Roman" w:eastAsia="黑体" w:cs="黑体"/>
          <w:b/>
          <w:bCs/>
          <w:kern w:val="0"/>
          <w:sz w:val="30"/>
          <w:szCs w:val="30"/>
          <w:lang w:val="zh-CN"/>
        </w:rPr>
        <w:t>十三、</w:t>
      </w:r>
      <w:r>
        <w:rPr>
          <w:rFonts w:hint="eastAsia" w:ascii="Times New Roman" w:hAnsi="Times New Roman" w:eastAsia="黑体" w:cs="黑体"/>
          <w:b/>
          <w:bCs/>
          <w:kern w:val="0"/>
          <w:sz w:val="30"/>
          <w:szCs w:val="30"/>
        </w:rPr>
        <w:t>预算绩效情况说明</w:t>
      </w:r>
    </w:p>
    <w:p w14:paraId="3CCF0CBE">
      <w:pPr>
        <w:autoSpaceDE w:val="0"/>
        <w:autoSpaceDN w:val="0"/>
        <w:adjustRightInd w:val="0"/>
        <w:spacing w:line="600" w:lineRule="exact"/>
        <w:ind w:firstLine="600"/>
        <w:jc w:val="left"/>
        <w:rPr>
          <w:rFonts w:hint="default" w:ascii="Times New Roman" w:hAnsi="Times New Roman" w:eastAsia="仿宋_GB2312" w:cs="仿宋_GB2312"/>
          <w:kern w:val="0"/>
          <w:sz w:val="30"/>
          <w:szCs w:val="30"/>
          <w:lang w:val="en-US" w:eastAsia="zh-CN"/>
        </w:rPr>
      </w:pPr>
      <w:r>
        <w:rPr>
          <w:rFonts w:hint="eastAsia" w:ascii="Times New Roman" w:hAnsi="Times New Roman" w:eastAsia="仿宋_GB2312" w:cs="仿宋_GB2312"/>
          <w:sz w:val="30"/>
          <w:szCs w:val="30"/>
        </w:rPr>
        <w:t>根据预算绩效管理要求，天津市宝坻区民政综合服务中心2023年度已对6个项目开展绩效自评，涉及金额1,748.65万元，自评结果已随部门决算一并公开</w:t>
      </w:r>
      <w:r>
        <w:rPr>
          <w:rFonts w:hint="eastAsia" w:ascii="Times New Roman" w:hAnsi="Times New Roman" w:eastAsia="仿宋_GB2312" w:cs="仿宋_GB2312"/>
          <w:sz w:val="30"/>
          <w:szCs w:val="30"/>
          <w:lang w:eastAsia="zh-CN"/>
        </w:rPr>
        <w:t>；本单位</w:t>
      </w:r>
      <w:r>
        <w:rPr>
          <w:rFonts w:hint="eastAsia" w:ascii="Times New Roman" w:hAnsi="Times New Roman" w:eastAsia="仿宋_GB2312" w:cs="仿宋_GB2312"/>
          <w:sz w:val="30"/>
          <w:szCs w:val="30"/>
          <w:lang w:val="en-US" w:eastAsia="zh-CN"/>
        </w:rPr>
        <w:t>2023年度未开展部门评价。</w:t>
      </w:r>
    </w:p>
    <w:p w14:paraId="34DD23D5">
      <w:pPr>
        <w:keepNext/>
        <w:keepLines/>
        <w:autoSpaceDE w:val="0"/>
        <w:autoSpaceDN w:val="0"/>
        <w:adjustRightInd w:val="0"/>
        <w:spacing w:line="600" w:lineRule="exact"/>
        <w:ind w:firstLine="602"/>
        <w:jc w:val="left"/>
        <w:outlineLvl w:val="1"/>
        <w:rPr>
          <w:rFonts w:ascii="Times New Roman" w:hAnsi="Times New Roman" w:eastAsia="黑体" w:cs="黑体"/>
          <w:b/>
          <w:bCs/>
          <w:kern w:val="0"/>
          <w:sz w:val="30"/>
          <w:szCs w:val="30"/>
        </w:rPr>
      </w:pPr>
      <w:r>
        <w:rPr>
          <w:rFonts w:hint="eastAsia" w:ascii="Times New Roman" w:hAnsi="Times New Roman" w:eastAsia="黑体" w:cs="黑体"/>
          <w:b/>
          <w:bCs/>
          <w:kern w:val="0"/>
          <w:sz w:val="30"/>
          <w:szCs w:val="30"/>
          <w:lang w:val="zh-CN"/>
        </w:rPr>
        <w:t>十四、</w:t>
      </w:r>
      <w:r>
        <w:rPr>
          <w:rFonts w:hint="eastAsia" w:ascii="Times New Roman" w:hAnsi="Times New Roman" w:eastAsia="黑体" w:cs="黑体"/>
          <w:b/>
          <w:bCs/>
          <w:kern w:val="0"/>
          <w:sz w:val="30"/>
          <w:szCs w:val="30"/>
        </w:rPr>
        <w:t>教育、医疗卫生、社会保障和就业、住房保障、涉农补贴等民生支出情况说明</w:t>
      </w:r>
    </w:p>
    <w:p w14:paraId="62749D09">
      <w:pPr>
        <w:autoSpaceDE w:val="0"/>
        <w:autoSpaceDN w:val="0"/>
        <w:adjustRightInd w:val="0"/>
        <w:spacing w:line="600" w:lineRule="exact"/>
        <w:ind w:firstLine="600" w:firstLineChars="200"/>
        <w:jc w:val="left"/>
        <w:rPr>
          <w:rFonts w:hint="eastAsia" w:ascii="Times New Roman" w:hAnsi="Times New Roman" w:eastAsia="仿宋_GB2312" w:cs="仿宋_GB2312"/>
          <w:kern w:val="0"/>
          <w:sz w:val="30"/>
          <w:szCs w:val="30"/>
          <w:lang w:eastAsia="zh-CN"/>
        </w:rPr>
      </w:pPr>
      <w:r>
        <w:rPr>
          <w:rFonts w:hint="eastAsia" w:ascii="Times New Roman" w:hAnsi="Times New Roman" w:eastAsia="仿宋_GB2312" w:cs="仿宋_GB2312"/>
          <w:sz w:val="30"/>
          <w:szCs w:val="30"/>
        </w:rPr>
        <w:t>天津市宝坻区民政综合服务中心不属于乡、镇、街级单位，不涉及公开2023年度教育、医疗卫生、社会保障和就业、住房保障、涉农补贴等民生支出情况</w:t>
      </w:r>
      <w:r>
        <w:rPr>
          <w:rFonts w:hint="eastAsia" w:ascii="Times New Roman" w:hAnsi="Times New Roman" w:eastAsia="仿宋_GB2312" w:cs="仿宋_GB2312"/>
          <w:sz w:val="30"/>
          <w:szCs w:val="30"/>
          <w:lang w:eastAsia="zh-CN"/>
        </w:rPr>
        <w:t>。</w:t>
      </w:r>
      <w:bookmarkStart w:id="0" w:name="_GoBack"/>
      <w:bookmarkEnd w:id="0"/>
    </w:p>
    <w:p w14:paraId="05F6A0EE">
      <w:pPr>
        <w:autoSpaceDE w:val="0"/>
        <w:autoSpaceDN w:val="0"/>
        <w:adjustRightInd w:val="0"/>
        <w:jc w:val="left"/>
        <w:rPr>
          <w:rFonts w:ascii="Times New Roman" w:hAnsi="Times New Roman" w:eastAsia="仿宋_GB2312" w:cs="仿宋_GB2312"/>
          <w:b/>
          <w:bCs/>
          <w:color w:val="000000"/>
          <w:kern w:val="0"/>
          <w:sz w:val="30"/>
          <w:szCs w:val="30"/>
        </w:rPr>
      </w:pPr>
      <w:r>
        <w:rPr>
          <w:rFonts w:ascii="Times New Roman" w:hAnsi="Times New Roman" w:eastAsia="仿宋_GB2312" w:cs="仿宋_GB2312"/>
          <w:b/>
          <w:bCs/>
          <w:color w:val="000000"/>
          <w:kern w:val="0"/>
          <w:sz w:val="30"/>
          <w:szCs w:val="30"/>
        </w:rPr>
        <w:br w:type="page"/>
      </w:r>
    </w:p>
    <w:p w14:paraId="1E940494">
      <w:pPr>
        <w:keepNext/>
        <w:keepLines/>
        <w:autoSpaceDE w:val="0"/>
        <w:autoSpaceDN w:val="0"/>
        <w:adjustRightInd w:val="0"/>
        <w:spacing w:line="600" w:lineRule="exact"/>
        <w:jc w:val="center"/>
        <w:outlineLvl w:val="0"/>
        <w:rPr>
          <w:rFonts w:ascii="Times New Roman" w:hAnsi="Times New Roman" w:eastAsia="方正小标宋简体" w:cs="方正小标宋简体"/>
          <w:kern w:val="44"/>
          <w:sz w:val="44"/>
          <w:szCs w:val="44"/>
        </w:rPr>
      </w:pPr>
      <w:r>
        <w:rPr>
          <w:rFonts w:hint="eastAsia" w:ascii="Times New Roman" w:hAnsi="Times New Roman" w:eastAsia="方正小标宋简体" w:cs="方正小标宋简体"/>
          <w:kern w:val="44"/>
          <w:sz w:val="44"/>
          <w:szCs w:val="44"/>
        </w:rPr>
        <w:t>第四部分名词解释</w:t>
      </w:r>
    </w:p>
    <w:p w14:paraId="0B087ACA">
      <w:pPr>
        <w:autoSpaceDE w:val="0"/>
        <w:autoSpaceDN w:val="0"/>
        <w:adjustRightInd w:val="0"/>
        <w:spacing w:line="600" w:lineRule="exact"/>
        <w:ind w:firstLine="600"/>
        <w:jc w:val="left"/>
        <w:rPr>
          <w:rFonts w:ascii="Times New Roman" w:hAnsi="Times New Roman" w:eastAsia="仿宋_GB2312" w:cs="仿宋_GB2312"/>
          <w:kern w:val="0"/>
          <w:sz w:val="30"/>
          <w:szCs w:val="30"/>
        </w:rPr>
      </w:pPr>
    </w:p>
    <w:p w14:paraId="60F841D2">
      <w:pPr>
        <w:autoSpaceDE w:val="0"/>
        <w:autoSpaceDN w:val="0"/>
        <w:adjustRightInd w:val="0"/>
        <w:spacing w:line="600" w:lineRule="exact"/>
        <w:ind w:firstLine="600"/>
        <w:jc w:val="left"/>
        <w:rPr>
          <w:rFonts w:ascii="Times New Roman" w:hAnsi="Times New Roman" w:eastAsia="仿宋_GB2312" w:cs="仿宋_GB2312"/>
          <w:kern w:val="0"/>
          <w:sz w:val="30"/>
          <w:szCs w:val="30"/>
        </w:rPr>
      </w:pPr>
      <w:r>
        <w:rPr>
          <w:rFonts w:hint="eastAsia" w:ascii="Times New Roman" w:hAnsi="Times New Roman" w:eastAsia="仿宋_GB2312" w:cs="仿宋_GB2312"/>
          <w:kern w:val="0"/>
          <w:sz w:val="30"/>
          <w:szCs w:val="30"/>
        </w:rPr>
        <w:t>1</w:t>
      </w:r>
      <w:r>
        <w:rPr>
          <w:rFonts w:ascii="Times New Roman" w:hAnsi="Times New Roman" w:eastAsia="仿宋_GB2312" w:cs="仿宋_GB2312"/>
          <w:kern w:val="0"/>
          <w:sz w:val="30"/>
          <w:szCs w:val="30"/>
        </w:rPr>
        <w:t>.</w:t>
      </w:r>
      <w:r>
        <w:rPr>
          <w:rFonts w:hint="eastAsia" w:ascii="Times New Roman" w:hAnsi="Times New Roman" w:eastAsia="仿宋_GB2312" w:cs="仿宋_GB2312"/>
          <w:kern w:val="0"/>
          <w:sz w:val="30"/>
          <w:szCs w:val="30"/>
        </w:rPr>
        <w:t>部门决算。是指各部门依据国家有关法律法规规定及其履行职能情况编制，反映部门所有预算收支和结余执行结果及绩效等情况的综合性年度报告，是改进部门预算执行以及编制后续年度部门预算的参考和依据。</w:t>
      </w:r>
    </w:p>
    <w:p w14:paraId="230F5982">
      <w:pPr>
        <w:autoSpaceDE w:val="0"/>
        <w:autoSpaceDN w:val="0"/>
        <w:adjustRightInd w:val="0"/>
        <w:spacing w:line="600" w:lineRule="exact"/>
        <w:ind w:firstLine="600"/>
        <w:jc w:val="left"/>
        <w:rPr>
          <w:rFonts w:ascii="Times New Roman" w:hAnsi="Times New Roman" w:eastAsia="仿宋_GB2312" w:cs="仿宋_GB2312"/>
          <w:kern w:val="0"/>
          <w:sz w:val="30"/>
          <w:szCs w:val="30"/>
        </w:rPr>
      </w:pPr>
      <w:r>
        <w:rPr>
          <w:rFonts w:ascii="Times New Roman" w:hAnsi="Times New Roman" w:eastAsia="仿宋_GB2312" w:cs="仿宋_GB2312"/>
          <w:kern w:val="0"/>
          <w:sz w:val="30"/>
          <w:szCs w:val="30"/>
        </w:rPr>
        <w:t>2.</w:t>
      </w:r>
      <w:r>
        <w:rPr>
          <w:rFonts w:hint="eastAsia" w:ascii="Times New Roman" w:hAnsi="Times New Roman" w:eastAsia="仿宋_GB2312" w:cs="仿宋_GB2312"/>
          <w:kern w:val="0"/>
          <w:sz w:val="30"/>
          <w:szCs w:val="30"/>
        </w:rPr>
        <w:t>机关运行经费。反映为保障行政单位（含参照公务员管理事业单位）运行用于购买货物和服务的各项资金，包括办公及印刷费、邮电费、差旅费、会议费、福利费、日常维修费及一般设备购置费、办公用房水电费、办公用房取暖费、办公用房物业管理费、公务用车运行维护费以及其他费用。</w:t>
      </w:r>
    </w:p>
    <w:p w14:paraId="16A4518B">
      <w:pPr>
        <w:autoSpaceDE w:val="0"/>
        <w:autoSpaceDN w:val="0"/>
        <w:adjustRightInd w:val="0"/>
        <w:spacing w:line="600" w:lineRule="exact"/>
        <w:ind w:firstLine="600"/>
        <w:jc w:val="left"/>
        <w:rPr>
          <w:rFonts w:ascii="Times New Roman" w:hAnsi="Times New Roman"/>
        </w:rPr>
      </w:pPr>
      <w:r>
        <w:rPr>
          <w:rFonts w:ascii="Times New Roman" w:hAnsi="Times New Roman" w:eastAsia="仿宋_GB2312" w:cs="仿宋_GB2312"/>
          <w:kern w:val="0"/>
          <w:sz w:val="30"/>
          <w:szCs w:val="30"/>
        </w:rPr>
        <w:t>3.“</w:t>
      </w:r>
      <w:r>
        <w:rPr>
          <w:rFonts w:hint="eastAsia" w:ascii="Times New Roman" w:hAnsi="Times New Roman" w:eastAsia="仿宋_GB2312" w:cs="仿宋_GB2312"/>
          <w:kern w:val="0"/>
          <w:sz w:val="30"/>
          <w:szCs w:val="30"/>
        </w:rPr>
        <w:t>三公</w:t>
      </w:r>
      <w:r>
        <w:rPr>
          <w:rFonts w:ascii="Times New Roman" w:hAnsi="Times New Roman" w:eastAsia="仿宋_GB2312" w:cs="仿宋_GB2312"/>
          <w:kern w:val="0"/>
          <w:sz w:val="30"/>
          <w:szCs w:val="30"/>
        </w:rPr>
        <w:t>”</w:t>
      </w:r>
      <w:r>
        <w:rPr>
          <w:rFonts w:hint="eastAsia" w:ascii="Times New Roman" w:hAnsi="Times New Roman" w:eastAsia="仿宋_GB2312" w:cs="仿宋_GB2312"/>
          <w:kern w:val="0"/>
          <w:sz w:val="30"/>
          <w:szCs w:val="30"/>
        </w:rPr>
        <w:t>经费。是指各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燃料费、维修费、过桥过路费、保险费、安全奖励费用等支出；公务接待费反映单位按规定开支的各类公务接待（含外宾接待）支出。</w:t>
      </w:r>
    </w:p>
    <w:sectPr>
      <w:pgSz w:w="12240" w:h="15840"/>
      <w:pgMar w:top="1440" w:right="1800" w:bottom="1440" w:left="180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panose1 w:val="02010600030101010101"/>
    <w:charset w:val="86"/>
    <w:family w:val="auto"/>
    <w:pitch w:val="default"/>
    <w:sig w:usb0="A00002BF" w:usb1="38CF7CFA" w:usb2="00000016" w:usb3="00000000" w:csb0="0004000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26D18CB"/>
    <w:multiLevelType w:val="singleLevel"/>
    <w:tmpl w:val="B26D18CB"/>
    <w:lvl w:ilvl="0" w:tentative="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ODNiZjZhNDBmMTk2NmI2M2QwNGNjNWQ4YjA3ZDZmYzIifQ=="/>
  </w:docVars>
  <w:rsids>
    <w:rsidRoot w:val="006A094D"/>
    <w:rsid w:val="00013A12"/>
    <w:rsid w:val="0002687D"/>
    <w:rsid w:val="00047C6F"/>
    <w:rsid w:val="000528EE"/>
    <w:rsid w:val="000719FD"/>
    <w:rsid w:val="00077902"/>
    <w:rsid w:val="000B5C71"/>
    <w:rsid w:val="000D4B98"/>
    <w:rsid w:val="001273A1"/>
    <w:rsid w:val="00127EFA"/>
    <w:rsid w:val="00142888"/>
    <w:rsid w:val="00152EEB"/>
    <w:rsid w:val="00153077"/>
    <w:rsid w:val="00167CB7"/>
    <w:rsid w:val="001A0E4F"/>
    <w:rsid w:val="001B5C3C"/>
    <w:rsid w:val="001C0399"/>
    <w:rsid w:val="001D587E"/>
    <w:rsid w:val="002124F6"/>
    <w:rsid w:val="00264B59"/>
    <w:rsid w:val="002A4997"/>
    <w:rsid w:val="002E6086"/>
    <w:rsid w:val="00302490"/>
    <w:rsid w:val="003227B2"/>
    <w:rsid w:val="003536BE"/>
    <w:rsid w:val="003B25FB"/>
    <w:rsid w:val="00447397"/>
    <w:rsid w:val="00471221"/>
    <w:rsid w:val="004A482F"/>
    <w:rsid w:val="004F307F"/>
    <w:rsid w:val="004F39BF"/>
    <w:rsid w:val="005062D7"/>
    <w:rsid w:val="005175E6"/>
    <w:rsid w:val="00525157"/>
    <w:rsid w:val="005349A2"/>
    <w:rsid w:val="00575537"/>
    <w:rsid w:val="005D1367"/>
    <w:rsid w:val="005D3F56"/>
    <w:rsid w:val="005E35A8"/>
    <w:rsid w:val="00654D17"/>
    <w:rsid w:val="006623EC"/>
    <w:rsid w:val="006A094D"/>
    <w:rsid w:val="006B423C"/>
    <w:rsid w:val="006D2409"/>
    <w:rsid w:val="006E65DB"/>
    <w:rsid w:val="00742315"/>
    <w:rsid w:val="00776FF3"/>
    <w:rsid w:val="0078156E"/>
    <w:rsid w:val="00786E74"/>
    <w:rsid w:val="007D1285"/>
    <w:rsid w:val="007E49E1"/>
    <w:rsid w:val="007F6DA7"/>
    <w:rsid w:val="008174D5"/>
    <w:rsid w:val="00885126"/>
    <w:rsid w:val="0089698B"/>
    <w:rsid w:val="008C7435"/>
    <w:rsid w:val="008D48A9"/>
    <w:rsid w:val="00941A30"/>
    <w:rsid w:val="00950DF3"/>
    <w:rsid w:val="00967ADB"/>
    <w:rsid w:val="00977DCC"/>
    <w:rsid w:val="009820CF"/>
    <w:rsid w:val="00982A8B"/>
    <w:rsid w:val="009A7ED3"/>
    <w:rsid w:val="009D74D7"/>
    <w:rsid w:val="00A57AE7"/>
    <w:rsid w:val="00AE6D0E"/>
    <w:rsid w:val="00AF71AE"/>
    <w:rsid w:val="00B33C70"/>
    <w:rsid w:val="00B75228"/>
    <w:rsid w:val="00B811F1"/>
    <w:rsid w:val="00B81B9F"/>
    <w:rsid w:val="00BC763A"/>
    <w:rsid w:val="00BC7D6F"/>
    <w:rsid w:val="00BD3CAC"/>
    <w:rsid w:val="00BF4632"/>
    <w:rsid w:val="00BF697A"/>
    <w:rsid w:val="00C52E77"/>
    <w:rsid w:val="00C65A44"/>
    <w:rsid w:val="00C76AC3"/>
    <w:rsid w:val="00C83EB4"/>
    <w:rsid w:val="00CE3FA0"/>
    <w:rsid w:val="00D14ADC"/>
    <w:rsid w:val="00D4505A"/>
    <w:rsid w:val="00D65B41"/>
    <w:rsid w:val="00DC3234"/>
    <w:rsid w:val="00DC3CD0"/>
    <w:rsid w:val="00DD60B5"/>
    <w:rsid w:val="00E7602B"/>
    <w:rsid w:val="00E964B2"/>
    <w:rsid w:val="00EA6549"/>
    <w:rsid w:val="00EB02ED"/>
    <w:rsid w:val="00F007FE"/>
    <w:rsid w:val="00F06C1A"/>
    <w:rsid w:val="00F2457E"/>
    <w:rsid w:val="00FF1D33"/>
    <w:rsid w:val="017D4A3B"/>
    <w:rsid w:val="01A10E80"/>
    <w:rsid w:val="02867E41"/>
    <w:rsid w:val="029D518A"/>
    <w:rsid w:val="02E64BCB"/>
    <w:rsid w:val="03311B3F"/>
    <w:rsid w:val="03901927"/>
    <w:rsid w:val="05CA273A"/>
    <w:rsid w:val="05E55C53"/>
    <w:rsid w:val="069A035E"/>
    <w:rsid w:val="07267E44"/>
    <w:rsid w:val="07425D24"/>
    <w:rsid w:val="07A23238"/>
    <w:rsid w:val="08406CE4"/>
    <w:rsid w:val="085D1644"/>
    <w:rsid w:val="0A7D5D1A"/>
    <w:rsid w:val="0AF018E5"/>
    <w:rsid w:val="0B1428B6"/>
    <w:rsid w:val="0B2716A6"/>
    <w:rsid w:val="0B2E72C7"/>
    <w:rsid w:val="0C411F0C"/>
    <w:rsid w:val="0CDD71F7"/>
    <w:rsid w:val="0D0C723A"/>
    <w:rsid w:val="0D664210"/>
    <w:rsid w:val="0DA7267B"/>
    <w:rsid w:val="0DFB4FC0"/>
    <w:rsid w:val="0E267459"/>
    <w:rsid w:val="0EBB5316"/>
    <w:rsid w:val="0F4936D8"/>
    <w:rsid w:val="0FC42B69"/>
    <w:rsid w:val="0FF22FB9"/>
    <w:rsid w:val="11433B4D"/>
    <w:rsid w:val="118916FB"/>
    <w:rsid w:val="1221675E"/>
    <w:rsid w:val="12C34799"/>
    <w:rsid w:val="12D93FBD"/>
    <w:rsid w:val="13463246"/>
    <w:rsid w:val="142D4C1F"/>
    <w:rsid w:val="15F1161D"/>
    <w:rsid w:val="161D1413"/>
    <w:rsid w:val="1666200B"/>
    <w:rsid w:val="16C5644A"/>
    <w:rsid w:val="16D76A65"/>
    <w:rsid w:val="17C84C4C"/>
    <w:rsid w:val="1949378C"/>
    <w:rsid w:val="199A3054"/>
    <w:rsid w:val="1A1104E0"/>
    <w:rsid w:val="1A404E9F"/>
    <w:rsid w:val="1AA54268"/>
    <w:rsid w:val="1B173F14"/>
    <w:rsid w:val="1B4641B9"/>
    <w:rsid w:val="1B520DB0"/>
    <w:rsid w:val="1B5D5A1E"/>
    <w:rsid w:val="1B7A68EC"/>
    <w:rsid w:val="1CCA277E"/>
    <w:rsid w:val="1CF163A7"/>
    <w:rsid w:val="1DFB572F"/>
    <w:rsid w:val="1E1B192D"/>
    <w:rsid w:val="1EC5396A"/>
    <w:rsid w:val="1EFB0588"/>
    <w:rsid w:val="20DB5BFD"/>
    <w:rsid w:val="21365D81"/>
    <w:rsid w:val="21556D90"/>
    <w:rsid w:val="21C24E94"/>
    <w:rsid w:val="21D73FEC"/>
    <w:rsid w:val="23736675"/>
    <w:rsid w:val="24507E57"/>
    <w:rsid w:val="24B227A0"/>
    <w:rsid w:val="25BA7C7E"/>
    <w:rsid w:val="2666570F"/>
    <w:rsid w:val="26DB4B05"/>
    <w:rsid w:val="271B299E"/>
    <w:rsid w:val="27DD7C53"/>
    <w:rsid w:val="284E3F62"/>
    <w:rsid w:val="28612632"/>
    <w:rsid w:val="2A924D25"/>
    <w:rsid w:val="2BC20F83"/>
    <w:rsid w:val="2C800474"/>
    <w:rsid w:val="2C8F0671"/>
    <w:rsid w:val="2D5A0475"/>
    <w:rsid w:val="2DA05507"/>
    <w:rsid w:val="2E487134"/>
    <w:rsid w:val="2E8C3709"/>
    <w:rsid w:val="2F146650"/>
    <w:rsid w:val="2FA13000"/>
    <w:rsid w:val="2FC74096"/>
    <w:rsid w:val="2FF951BC"/>
    <w:rsid w:val="307A24E3"/>
    <w:rsid w:val="307A6987"/>
    <w:rsid w:val="30BB5227"/>
    <w:rsid w:val="313F372D"/>
    <w:rsid w:val="32146967"/>
    <w:rsid w:val="32443D30"/>
    <w:rsid w:val="324A2E0F"/>
    <w:rsid w:val="32672F3B"/>
    <w:rsid w:val="33032C66"/>
    <w:rsid w:val="332D3FC0"/>
    <w:rsid w:val="33A65CE5"/>
    <w:rsid w:val="354D7E20"/>
    <w:rsid w:val="35747E49"/>
    <w:rsid w:val="35823AFA"/>
    <w:rsid w:val="358C1096"/>
    <w:rsid w:val="35B6328D"/>
    <w:rsid w:val="35F44AE6"/>
    <w:rsid w:val="36015455"/>
    <w:rsid w:val="36144696"/>
    <w:rsid w:val="36580FD3"/>
    <w:rsid w:val="381E22EE"/>
    <w:rsid w:val="3AF76503"/>
    <w:rsid w:val="3B0209DD"/>
    <w:rsid w:val="3B0C198B"/>
    <w:rsid w:val="3B483C6E"/>
    <w:rsid w:val="3B776F10"/>
    <w:rsid w:val="3B7C7A57"/>
    <w:rsid w:val="3B8E1539"/>
    <w:rsid w:val="3D600CB3"/>
    <w:rsid w:val="3E426F14"/>
    <w:rsid w:val="3EB42189"/>
    <w:rsid w:val="3EC62D97"/>
    <w:rsid w:val="3EEF0B4C"/>
    <w:rsid w:val="3EF16375"/>
    <w:rsid w:val="3F2006FA"/>
    <w:rsid w:val="3F3C45EB"/>
    <w:rsid w:val="40CF0629"/>
    <w:rsid w:val="4137238C"/>
    <w:rsid w:val="41CC0838"/>
    <w:rsid w:val="43612B5A"/>
    <w:rsid w:val="43805C0B"/>
    <w:rsid w:val="43AF64F0"/>
    <w:rsid w:val="43B835F7"/>
    <w:rsid w:val="44552CED"/>
    <w:rsid w:val="44EB17AA"/>
    <w:rsid w:val="45984C48"/>
    <w:rsid w:val="47727F60"/>
    <w:rsid w:val="485D29BF"/>
    <w:rsid w:val="49374433"/>
    <w:rsid w:val="49DA103E"/>
    <w:rsid w:val="4A2319E6"/>
    <w:rsid w:val="4A8E57CD"/>
    <w:rsid w:val="4B3D495D"/>
    <w:rsid w:val="4CA13CE1"/>
    <w:rsid w:val="4CD450D8"/>
    <w:rsid w:val="4D14664A"/>
    <w:rsid w:val="4D210FC7"/>
    <w:rsid w:val="4D720D77"/>
    <w:rsid w:val="4DB9688D"/>
    <w:rsid w:val="4E4E3945"/>
    <w:rsid w:val="4E8C7B5A"/>
    <w:rsid w:val="4F167E2F"/>
    <w:rsid w:val="4F391364"/>
    <w:rsid w:val="4FA424E7"/>
    <w:rsid w:val="4FBD62FD"/>
    <w:rsid w:val="4FD337AC"/>
    <w:rsid w:val="4FE523CE"/>
    <w:rsid w:val="5236167C"/>
    <w:rsid w:val="52A37398"/>
    <w:rsid w:val="530F2B07"/>
    <w:rsid w:val="53C102A5"/>
    <w:rsid w:val="54380029"/>
    <w:rsid w:val="54A61249"/>
    <w:rsid w:val="54F16968"/>
    <w:rsid w:val="55AC416B"/>
    <w:rsid w:val="55FF3307"/>
    <w:rsid w:val="564C0516"/>
    <w:rsid w:val="5713248B"/>
    <w:rsid w:val="57833AC4"/>
    <w:rsid w:val="578735B4"/>
    <w:rsid w:val="58C3061C"/>
    <w:rsid w:val="58E93DFA"/>
    <w:rsid w:val="599E4BE5"/>
    <w:rsid w:val="5A1C0F73"/>
    <w:rsid w:val="5A964C59"/>
    <w:rsid w:val="5B37014B"/>
    <w:rsid w:val="5C170425"/>
    <w:rsid w:val="5C9636F9"/>
    <w:rsid w:val="5CD612EB"/>
    <w:rsid w:val="5D032E6E"/>
    <w:rsid w:val="5D4B1272"/>
    <w:rsid w:val="5DC66F7C"/>
    <w:rsid w:val="5DFB2606"/>
    <w:rsid w:val="5E015742"/>
    <w:rsid w:val="5EB1144C"/>
    <w:rsid w:val="5EF37781"/>
    <w:rsid w:val="5F6D7131"/>
    <w:rsid w:val="5F7856C5"/>
    <w:rsid w:val="5FF67529"/>
    <w:rsid w:val="615900E7"/>
    <w:rsid w:val="61D75AE1"/>
    <w:rsid w:val="620B43D3"/>
    <w:rsid w:val="624C1682"/>
    <w:rsid w:val="630A5099"/>
    <w:rsid w:val="63B80927"/>
    <w:rsid w:val="643C1F0A"/>
    <w:rsid w:val="644D16E1"/>
    <w:rsid w:val="64925346"/>
    <w:rsid w:val="654D2EBE"/>
    <w:rsid w:val="654E5711"/>
    <w:rsid w:val="656942F9"/>
    <w:rsid w:val="65B558C0"/>
    <w:rsid w:val="665D659A"/>
    <w:rsid w:val="667274BD"/>
    <w:rsid w:val="66BC2A82"/>
    <w:rsid w:val="671F55B7"/>
    <w:rsid w:val="672E57FA"/>
    <w:rsid w:val="68200AB4"/>
    <w:rsid w:val="68C169D0"/>
    <w:rsid w:val="6B4F5D3F"/>
    <w:rsid w:val="6B963EB9"/>
    <w:rsid w:val="6BBB51FE"/>
    <w:rsid w:val="6BF54B38"/>
    <w:rsid w:val="6C054650"/>
    <w:rsid w:val="6C1D5E3D"/>
    <w:rsid w:val="6C847C6A"/>
    <w:rsid w:val="6CF70A69"/>
    <w:rsid w:val="6CFE17CB"/>
    <w:rsid w:val="6D5E0469"/>
    <w:rsid w:val="6D854C1A"/>
    <w:rsid w:val="6E080CF4"/>
    <w:rsid w:val="6EB34837"/>
    <w:rsid w:val="70180DF5"/>
    <w:rsid w:val="704716DB"/>
    <w:rsid w:val="708C6A78"/>
    <w:rsid w:val="70E84C6C"/>
    <w:rsid w:val="70FE35D3"/>
    <w:rsid w:val="71600CA6"/>
    <w:rsid w:val="7260119C"/>
    <w:rsid w:val="72701CEB"/>
    <w:rsid w:val="72B3615B"/>
    <w:rsid w:val="73724CC1"/>
    <w:rsid w:val="7455465F"/>
    <w:rsid w:val="75AB44BA"/>
    <w:rsid w:val="79B7155B"/>
    <w:rsid w:val="79DC07A5"/>
    <w:rsid w:val="7ACA53E2"/>
    <w:rsid w:val="7B143565"/>
    <w:rsid w:val="7E2E7A36"/>
    <w:rsid w:val="7E703A39"/>
    <w:rsid w:val="7F3217A8"/>
    <w:rsid w:val="7FDD796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9"/>
    <w:qFormat/>
    <w:uiPriority w:val="99"/>
    <w:pPr>
      <w:autoSpaceDE w:val="0"/>
      <w:autoSpaceDN w:val="0"/>
      <w:adjustRightInd w:val="0"/>
      <w:jc w:val="left"/>
      <w:outlineLvl w:val="0"/>
    </w:pPr>
    <w:rPr>
      <w:rFonts w:ascii="方正小标宋简体" w:eastAsia="方正小标宋简体"/>
      <w:kern w:val="0"/>
      <w:sz w:val="24"/>
      <w:szCs w:val="24"/>
    </w:rPr>
  </w:style>
  <w:style w:type="paragraph" w:styleId="3">
    <w:name w:val="heading 2"/>
    <w:basedOn w:val="1"/>
    <w:next w:val="1"/>
    <w:link w:val="10"/>
    <w:qFormat/>
    <w:uiPriority w:val="99"/>
    <w:pPr>
      <w:autoSpaceDE w:val="0"/>
      <w:autoSpaceDN w:val="0"/>
      <w:adjustRightInd w:val="0"/>
      <w:jc w:val="left"/>
      <w:outlineLvl w:val="1"/>
    </w:pPr>
    <w:rPr>
      <w:rFonts w:ascii="方正小标宋简体" w:eastAsia="方正小标宋简体"/>
      <w:kern w:val="0"/>
      <w:sz w:val="24"/>
      <w:szCs w:val="24"/>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4">
    <w:name w:val="annotation text"/>
    <w:basedOn w:val="1"/>
    <w:semiHidden/>
    <w:unhideWhenUsed/>
    <w:qFormat/>
    <w:uiPriority w:val="99"/>
    <w:pPr>
      <w:jc w:val="left"/>
    </w:pPr>
  </w:style>
  <w:style w:type="paragraph" w:styleId="5">
    <w:name w:val="footer"/>
    <w:basedOn w:val="1"/>
    <w:link w:val="12"/>
    <w:unhideWhenUsed/>
    <w:qFormat/>
    <w:uiPriority w:val="99"/>
    <w:pPr>
      <w:tabs>
        <w:tab w:val="center" w:pos="4153"/>
        <w:tab w:val="right" w:pos="8306"/>
      </w:tabs>
      <w:snapToGrid w:val="0"/>
      <w:jc w:val="left"/>
    </w:pPr>
    <w:rPr>
      <w:sz w:val="18"/>
      <w:szCs w:val="18"/>
    </w:rPr>
  </w:style>
  <w:style w:type="paragraph" w:styleId="6">
    <w:name w:val="header"/>
    <w:basedOn w:val="1"/>
    <w:link w:val="11"/>
    <w:unhideWhenUsed/>
    <w:qFormat/>
    <w:uiPriority w:val="99"/>
    <w:pPr>
      <w:tabs>
        <w:tab w:val="center" w:pos="4153"/>
        <w:tab w:val="right" w:pos="8306"/>
      </w:tabs>
      <w:snapToGrid w:val="0"/>
      <w:jc w:val="center"/>
    </w:pPr>
    <w:rPr>
      <w:sz w:val="18"/>
      <w:szCs w:val="18"/>
    </w:rPr>
  </w:style>
  <w:style w:type="character" w:customStyle="1" w:styleId="9">
    <w:name w:val="标题 1 Char"/>
    <w:basedOn w:val="8"/>
    <w:link w:val="2"/>
    <w:qFormat/>
    <w:uiPriority w:val="99"/>
    <w:rPr>
      <w:rFonts w:ascii="方正小标宋简体" w:eastAsia="方正小标宋简体"/>
      <w:kern w:val="0"/>
      <w:sz w:val="24"/>
      <w:szCs w:val="24"/>
    </w:rPr>
  </w:style>
  <w:style w:type="character" w:customStyle="1" w:styleId="10">
    <w:name w:val="标题 2 Char"/>
    <w:basedOn w:val="8"/>
    <w:link w:val="3"/>
    <w:qFormat/>
    <w:uiPriority w:val="99"/>
    <w:rPr>
      <w:rFonts w:ascii="方正小标宋简体" w:eastAsia="方正小标宋简体"/>
      <w:kern w:val="0"/>
      <w:sz w:val="24"/>
      <w:szCs w:val="24"/>
    </w:rPr>
  </w:style>
  <w:style w:type="character" w:customStyle="1" w:styleId="11">
    <w:name w:val="页眉 Char"/>
    <w:basedOn w:val="8"/>
    <w:link w:val="6"/>
    <w:qFormat/>
    <w:uiPriority w:val="99"/>
    <w:rPr>
      <w:sz w:val="18"/>
      <w:szCs w:val="18"/>
    </w:rPr>
  </w:style>
  <w:style w:type="character" w:customStyle="1" w:styleId="12">
    <w:name w:val="页脚 Char"/>
    <w:basedOn w:val="8"/>
    <w:link w:val="5"/>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MS</Company>
  <Pages>13</Pages>
  <Words>3925</Words>
  <Characters>4607</Characters>
  <Lines>36</Lines>
  <Paragraphs>10</Paragraphs>
  <TotalTime>516</TotalTime>
  <ScaleCrop>false</ScaleCrop>
  <LinksUpToDate>false</LinksUpToDate>
  <CharactersWithSpaces>4637</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2023-08-11T08:11:00Z</dcterms:created>
  <dc:creator>office</dc:creator>
  <cp:lastModifiedBy>喜忧.</cp:lastModifiedBy>
  <dcterms:modified xsi:type="dcterms:W3CDTF">2024-09-14T01:54:02Z</dcterms:modified>
  <cp:revision>82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A44E0A178634409BBBA50D5636087390_13</vt:lpwstr>
  </property>
</Properties>
</file>