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天津市宝坻区民政局</w:t>
      </w:r>
      <w:r>
        <w:rPr>
          <w:rFonts w:ascii="Times New Roman" w:hAnsi="Times New Roman" w:eastAsia="方正小标宋简体" w:cs="方正小标宋简体"/>
          <w:kern w:val="0"/>
          <w:sz w:val="48"/>
          <w:szCs w:val="48"/>
          <w:lang w:val="zh-CN"/>
        </w:rPr>
        <w:t>(</w:t>
      </w:r>
      <w:r>
        <w:rPr>
          <w:rFonts w:hint="eastAsia" w:ascii="Times New Roman" w:hAnsi="Times New Roman" w:eastAsia="方正小标宋简体" w:cs="方正小标宋简体"/>
          <w:kern w:val="0"/>
          <w:sz w:val="48"/>
          <w:szCs w:val="48"/>
          <w:lang w:val="zh-CN"/>
        </w:rPr>
        <w:t>本级</w:t>
      </w:r>
      <w:r>
        <w:rPr>
          <w:rFonts w:ascii="Times New Roman" w:hAnsi="Times New Roman" w:eastAsia="方正小标宋简体" w:cs="方正小标宋简体"/>
          <w:kern w:val="0"/>
          <w:sz w:val="48"/>
          <w:szCs w:val="48"/>
          <w:lang w:val="zh-CN"/>
        </w:rPr>
        <w:t>)2023</w:t>
      </w:r>
      <w:r>
        <w:rPr>
          <w:rFonts w:hint="eastAsia" w:ascii="Times New Roman" w:hAnsi="Times New Roman" w:eastAsia="方正小标宋简体" w:cs="方正小标宋简体"/>
          <w:kern w:val="0"/>
          <w:sz w:val="48"/>
          <w:szCs w:val="48"/>
          <w:lang w:val="zh-CN"/>
        </w:rPr>
        <w:t>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w:t>
      </w:r>
      <w:r>
        <w:rPr>
          <w:rFonts w:ascii="Times New Roman" w:hAnsi="Times New Roman" w:eastAsia="黑体" w:cs="黑体"/>
          <w:kern w:val="0"/>
          <w:sz w:val="44"/>
          <w:szCs w:val="44"/>
        </w:rPr>
        <w:t xml:space="preserve">   </w:t>
      </w:r>
      <w:r>
        <w:rPr>
          <w:rFonts w:hint="eastAsia" w:ascii="Times New Roman" w:hAnsi="Times New Roman" w:eastAsia="黑体" w:cs="黑体"/>
          <w:kern w:val="0"/>
          <w:sz w:val="44"/>
          <w:szCs w:val="44"/>
        </w:rPr>
        <w:t>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第一部分</w:t>
      </w:r>
      <w:r>
        <w:rPr>
          <w:rFonts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rPr>
        <w:t>概</w:t>
      </w:r>
      <w:r>
        <w:rPr>
          <w:rFonts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rPr>
        <w:t>况</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第二部分</w:t>
      </w:r>
      <w:r>
        <w:rPr>
          <w:rFonts w:ascii="Times New Roman" w:hAnsi="Times New Roman" w:eastAsia="方正小标宋简体" w:cs="方正小标宋简体"/>
          <w:kern w:val="0"/>
          <w:sz w:val="30"/>
          <w:szCs w:val="30"/>
        </w:rPr>
        <w:t xml:space="preserve">  2023</w:t>
      </w:r>
      <w:r>
        <w:rPr>
          <w:rFonts w:hint="eastAsia" w:ascii="Times New Roman" w:hAnsi="Times New Roman" w:eastAsia="方正小标宋简体" w:cs="方正小标宋简体"/>
          <w:kern w:val="0"/>
          <w:sz w:val="30"/>
          <w:szCs w:val="30"/>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第三部分</w:t>
      </w:r>
      <w:r>
        <w:rPr>
          <w:rFonts w:ascii="Times New Roman" w:hAnsi="Times New Roman" w:eastAsia="方正小标宋简体" w:cs="方正小标宋简体"/>
          <w:kern w:val="0"/>
          <w:sz w:val="30"/>
          <w:szCs w:val="30"/>
        </w:rPr>
        <w:t xml:space="preserve">  2023</w:t>
      </w:r>
      <w:r>
        <w:rPr>
          <w:rFonts w:hint="eastAsia" w:ascii="Times New Roman" w:hAnsi="Times New Roman" w:eastAsia="方正小标宋简体" w:cs="方正小标宋简体"/>
          <w:kern w:val="0"/>
          <w:sz w:val="30"/>
          <w:szCs w:val="30"/>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第四部分</w:t>
      </w:r>
      <w:r>
        <w:rPr>
          <w:rFonts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w:t>
      </w:r>
      <w:r>
        <w:rPr>
          <w:rFonts w:ascii="Times New Roman" w:hAnsi="Times New Roman" w:eastAsia="方正小标宋简体" w:cs="方正小标宋简体"/>
          <w:kern w:val="44"/>
          <w:sz w:val="44"/>
          <w:szCs w:val="44"/>
        </w:rPr>
        <w:t xml:space="preserve">  </w:t>
      </w:r>
      <w:r>
        <w:rPr>
          <w:rFonts w:hint="eastAsia" w:ascii="Times New Roman" w:hAnsi="Times New Roman" w:eastAsia="方正小标宋简体" w:cs="方正小标宋简体"/>
          <w:kern w:val="44"/>
          <w:sz w:val="44"/>
          <w:szCs w:val="44"/>
        </w:rPr>
        <w:t>概</w:t>
      </w:r>
      <w:r>
        <w:rPr>
          <w:rFonts w:ascii="Times New Roman" w:hAnsi="Times New Roman" w:eastAsia="方正小标宋简体" w:cs="方正小标宋简体"/>
          <w:kern w:val="44"/>
          <w:sz w:val="44"/>
          <w:szCs w:val="44"/>
        </w:rPr>
        <w:t xml:space="preserve"> </w:t>
      </w:r>
      <w:r>
        <w:rPr>
          <w:rFonts w:hint="eastAsia" w:ascii="Times New Roman" w:hAnsi="Times New Roman" w:eastAsia="方正小标宋简体" w:cs="方正小标宋简体"/>
          <w:kern w:val="44"/>
          <w:sz w:val="44"/>
          <w:szCs w:val="44"/>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贯彻落实党和国家、市、区关于民政工作的方针、政策和法律、法规，坚持依法行政，制定区年度和中长期民政事业发展计划。加强社会救助，统筹城乡社会救助体系建设；推动完善城乡居民最低生活保障制度，负责推动社会福利社会化和各类社会福利机构规范管理标准的落实。参与基层政权建设，主管基层群众自治组织的建设。负责行政区划和区域勘界工作，拟定本区行政建制的撤并、划分的方案和申报。依法做好全区结婚、离婚和收养登记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天津市宝坻区民政局（本级）内设</w:t>
      </w:r>
      <w:r>
        <w:rPr>
          <w:rFonts w:ascii="Times New Roman" w:hAnsi="Times New Roman" w:eastAsia="仿宋_GB2312" w:cs="仿宋_GB2312"/>
          <w:sz w:val="30"/>
          <w:szCs w:val="30"/>
        </w:rPr>
        <w:t>5</w:t>
      </w:r>
      <w:r>
        <w:rPr>
          <w:rFonts w:hint="eastAsia" w:ascii="Times New Roman" w:hAnsi="Times New Roman" w:eastAsia="仿宋_GB2312" w:cs="仿宋_GB2312"/>
          <w:sz w:val="30"/>
          <w:szCs w:val="30"/>
        </w:rPr>
        <w:t>个职能科室；下辖</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个预算单位。纳入天津市宝坻区民政局（本级）</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、天津市宝坻区民政局（本级）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w:t>
      </w:r>
      <w:r>
        <w:rPr>
          <w:rFonts w:ascii="Times New Roman" w:hAnsi="Times New Roman" w:eastAsia="方正小标宋简体" w:cs="方正小标宋简体"/>
          <w:kern w:val="44"/>
          <w:sz w:val="44"/>
          <w:szCs w:val="44"/>
        </w:rPr>
        <w:t xml:space="preserve">  2023</w:t>
      </w:r>
      <w:r>
        <w:rPr>
          <w:rFonts w:hint="eastAsia" w:ascii="Times New Roman" w:hAnsi="Times New Roman" w:eastAsia="方正小标宋简体" w:cs="方正小标宋简体"/>
          <w:kern w:val="44"/>
          <w:sz w:val="44"/>
          <w:szCs w:val="44"/>
        </w:rPr>
        <w:t>年度部门决算表</w:t>
      </w:r>
    </w:p>
    <w:p>
      <w:pPr>
        <w:autoSpaceDE w:val="0"/>
        <w:autoSpaceDN w:val="0"/>
        <w:adjustRightInd w:val="0"/>
        <w:spacing w:line="600" w:lineRule="exact"/>
        <w:jc w:val="left"/>
        <w:rPr>
          <w:rFonts w:ascii="Times New Roman" w:hAnsi="Times New Roman" w:eastAsia="方正小标宋简体"/>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ind w:firstLine="480" w:firstLineChars="200"/>
        <w:jc w:val="left"/>
        <w:rPr>
          <w:rFonts w:ascii="Times New Roman" w:hAnsi="Times New Roman" w:eastAsia="黑体" w:cs="黑体"/>
          <w:b/>
          <w:bCs/>
          <w:kern w:val="0"/>
          <w:sz w:val="30"/>
          <w:szCs w:val="30"/>
        </w:rPr>
      </w:pPr>
      <w:r>
        <w:rPr>
          <w:rFonts w:ascii="Times New Roman" w:hAnsi="Times New Roman" w:eastAsia="楷体"/>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天津市宝坻区民政局（本级）</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年度一般公共预算财政拨款“三公”经费支出决算表为空表。</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天津市宝坻区民政局（本级）</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w:t>
      </w:r>
      <w:r>
        <w:rPr>
          <w:rFonts w:ascii="Times New Roman" w:hAnsi="Times New Roman" w:eastAsia="方正小标宋简体" w:cs="方正小标宋简体"/>
          <w:kern w:val="44"/>
          <w:sz w:val="44"/>
          <w:szCs w:val="44"/>
        </w:rPr>
        <w:t xml:space="preserve">  2023</w:t>
      </w:r>
      <w:r>
        <w:rPr>
          <w:rFonts w:hint="eastAsia" w:ascii="Times New Roman" w:hAnsi="Times New Roman" w:eastAsia="方正小标宋简体" w:cs="方正小标宋简体"/>
          <w:kern w:val="44"/>
          <w:sz w:val="44"/>
          <w:szCs w:val="44"/>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天津市宝坻区民政局（本级）</w:t>
      </w:r>
      <w:r>
        <w:rPr>
          <w:rFonts w:ascii="Times New Roman" w:hAnsi="Times New Roman" w:eastAsia="仿宋_GB2312" w:cs="仿宋_GB2312"/>
          <w:sz w:val="30"/>
          <w:szCs w:val="30"/>
          <w:lang w:val="zh-CN"/>
        </w:rPr>
        <w:t>2023</w:t>
      </w:r>
      <w:r>
        <w:rPr>
          <w:rFonts w:hint="eastAsia" w:ascii="Times New Roman" w:hAnsi="Times New Roman" w:eastAsia="仿宋_GB2312" w:cs="仿宋_GB2312"/>
          <w:sz w:val="30"/>
          <w:szCs w:val="30"/>
          <w:lang w:val="zh-CN"/>
        </w:rPr>
        <w:t>年度收入、支出决算总计</w:t>
      </w:r>
      <w:r>
        <w:rPr>
          <w:rFonts w:ascii="Times New Roman" w:hAnsi="Times New Roman" w:eastAsia="仿宋_GB2312" w:cs="仿宋_GB2312"/>
          <w:sz w:val="30"/>
          <w:szCs w:val="30"/>
        </w:rPr>
        <w:t>217,185,432.98</w:t>
      </w:r>
      <w:r>
        <w:rPr>
          <w:rFonts w:hint="eastAsia" w:ascii="Times New Roman" w:hAnsi="Times New Roman" w:eastAsia="仿宋_GB2312" w:cs="仿宋_GB2312"/>
          <w:sz w:val="30"/>
          <w:szCs w:val="30"/>
        </w:rPr>
        <w:t>元，与</w:t>
      </w:r>
      <w:r>
        <w:rPr>
          <w:rFonts w:ascii="Times New Roman" w:hAnsi="Times New Roman" w:eastAsia="仿宋_GB2312" w:cs="仿宋_GB2312"/>
          <w:sz w:val="30"/>
          <w:szCs w:val="30"/>
        </w:rPr>
        <w:t>2022</w:t>
      </w:r>
      <w:r>
        <w:rPr>
          <w:rFonts w:hint="eastAsia" w:ascii="Times New Roman" w:hAnsi="Times New Roman" w:eastAsia="仿宋_GB2312" w:cs="仿宋_GB2312"/>
          <w:sz w:val="30"/>
          <w:szCs w:val="30"/>
        </w:rPr>
        <w:t>年度相比，收、支总计各增加</w:t>
      </w:r>
      <w:r>
        <w:rPr>
          <w:rFonts w:ascii="Times New Roman" w:hAnsi="Times New Roman" w:eastAsia="仿宋_GB2312" w:cs="仿宋_GB2312"/>
          <w:sz w:val="30"/>
          <w:szCs w:val="30"/>
        </w:rPr>
        <w:t>200,867,627.07</w:t>
      </w:r>
      <w:r>
        <w:rPr>
          <w:rFonts w:hint="eastAsia" w:ascii="Times New Roman" w:hAnsi="Times New Roman" w:eastAsia="仿宋_GB2312" w:cs="仿宋_GB2312"/>
          <w:sz w:val="30"/>
          <w:szCs w:val="30"/>
        </w:rPr>
        <w:t>元，增长</w:t>
      </w:r>
      <w:r>
        <w:rPr>
          <w:rFonts w:ascii="Times New Roman" w:hAnsi="Times New Roman" w:eastAsia="仿宋_GB2312" w:cs="仿宋_GB2312"/>
          <w:sz w:val="30"/>
          <w:szCs w:val="30"/>
        </w:rPr>
        <w:t>1230.97%</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：按规定，将以前往来款列入收支。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天津市宝坻区民政局（本级）</w:t>
      </w:r>
      <w:r>
        <w:rPr>
          <w:rFonts w:ascii="Times New Roman" w:hAnsi="Times New Roman" w:eastAsia="仿宋_GB2312"/>
          <w:sz w:val="30"/>
          <w:szCs w:val="30"/>
        </w:rPr>
        <w:t>2023</w:t>
      </w:r>
      <w:r>
        <w:rPr>
          <w:rFonts w:hint="eastAsia" w:ascii="Times New Roman" w:hAnsi="Times New Roman" w:eastAsia="仿宋_GB2312" w:cs="仿宋_GB2312"/>
          <w:sz w:val="30"/>
          <w:szCs w:val="30"/>
          <w:lang w:val="zh-CN"/>
        </w:rPr>
        <w:t>年度本年收入合计</w:t>
      </w:r>
      <w:r>
        <w:rPr>
          <w:rFonts w:ascii="Times New Roman" w:hAnsi="Times New Roman" w:eastAsia="仿宋_GB2312"/>
          <w:sz w:val="30"/>
          <w:szCs w:val="30"/>
        </w:rPr>
        <w:t>216,569,476.47</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仿宋_GB2312"/>
          <w:sz w:val="30"/>
          <w:szCs w:val="30"/>
        </w:rPr>
        <w:t>207,785,527.28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：按规定，将以前往来款列入收支。</w:t>
      </w:r>
    </w:p>
    <w:p>
      <w:pPr>
        <w:autoSpaceDE w:val="0"/>
        <w:autoSpaceDN w:val="0"/>
        <w:adjustRightInd w:val="0"/>
        <w:spacing w:line="600" w:lineRule="exact"/>
        <w:ind w:firstLine="600"/>
        <w:jc w:val="left"/>
        <w:rPr>
          <w:rFonts w:ascii="Times New Roman" w:hAnsi="Times New Roman" w:eastAsia="宋体"/>
          <w:sz w:val="30"/>
          <w:szCs w:val="30"/>
        </w:rPr>
      </w:pPr>
      <w:r>
        <w:rPr>
          <w:rFonts w:hint="eastAsia" w:ascii="Times New Roman" w:hAnsi="Times New Roman" w:eastAsia="仿宋_GB2312" w:cs="仿宋_GB2312"/>
          <w:sz w:val="30"/>
          <w:szCs w:val="30"/>
        </w:rPr>
        <w:t>其中：</w:t>
      </w:r>
      <w:r>
        <w:rPr>
          <w:rFonts w:hint="eastAsia" w:ascii="Times New Roman" w:hAnsi="Times New Roman" w:eastAsia="仿宋_GB2312" w:cs="仿宋_GB2312"/>
          <w:sz w:val="30"/>
          <w:szCs w:val="30"/>
          <w:lang w:val="zh-CN"/>
        </w:rPr>
        <w:t>一般公共预算财政拨款收入</w:t>
      </w:r>
      <w:r>
        <w:rPr>
          <w:rFonts w:ascii="Times New Roman" w:hAnsi="Times New Roman" w:eastAsia="仿宋_GB2312"/>
          <w:sz w:val="30"/>
          <w:szCs w:val="30"/>
        </w:rPr>
        <w:t>211,562,267.47</w:t>
      </w:r>
      <w:r>
        <w:rPr>
          <w:rFonts w:hint="eastAsia" w:ascii="Times New Roman" w:hAnsi="Times New Roman" w:eastAsia="仿宋_GB2312" w:cs="仿宋_GB2312"/>
          <w:sz w:val="30"/>
          <w:szCs w:val="30"/>
          <w:lang w:val="zh-CN"/>
        </w:rPr>
        <w:t>元，占</w:t>
      </w:r>
      <w:r>
        <w:rPr>
          <w:rFonts w:ascii="Times New Roman" w:hAnsi="Times New Roman" w:eastAsia="仿宋_GB2312"/>
          <w:sz w:val="30"/>
          <w:szCs w:val="30"/>
        </w:rPr>
        <w:t>97.69</w:t>
      </w:r>
      <w:r>
        <w:rPr>
          <w:rFonts w:ascii="Times New Roman" w:hAnsi="Times New Roman" w:eastAsia="宋体"/>
          <w:sz w:val="30"/>
          <w:szCs w:val="30"/>
        </w:rPr>
        <w:t>%</w:t>
      </w:r>
      <w:r>
        <w:rPr>
          <w:rFonts w:hint="eastAsia" w:ascii="Times New Roman" w:hAnsi="Times New Roman" w:eastAsia="宋体"/>
          <w:sz w:val="30"/>
          <w:szCs w:val="30"/>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政府性基金预算财政拨款收入</w:t>
      </w:r>
      <w:r>
        <w:rPr>
          <w:rFonts w:ascii="Times New Roman" w:hAnsi="Times New Roman" w:eastAsia="仿宋_GB2312" w:cs="仿宋_GB2312"/>
          <w:sz w:val="30"/>
          <w:szCs w:val="30"/>
          <w:lang w:val="zh-CN"/>
        </w:rPr>
        <w:t>4,389,809.00</w:t>
      </w:r>
      <w:r>
        <w:rPr>
          <w:rFonts w:hint="eastAsia" w:ascii="Times New Roman" w:hAnsi="Times New Roman" w:eastAsia="仿宋_GB2312" w:cs="仿宋_GB2312"/>
          <w:sz w:val="30"/>
          <w:szCs w:val="30"/>
          <w:lang w:val="zh-CN"/>
        </w:rPr>
        <w:t>元，</w:t>
      </w:r>
      <w:r>
        <w:rPr>
          <w:rFonts w:hint="eastAsia" w:ascii="Times New Roman" w:hAnsi="Times New Roman" w:eastAsia="仿宋_GB2312" w:cs="仿宋_GB2312"/>
          <w:kern w:val="0"/>
          <w:sz w:val="30"/>
          <w:szCs w:val="30"/>
        </w:rPr>
        <w:t>占</w:t>
      </w:r>
      <w:r>
        <w:rPr>
          <w:rFonts w:ascii="Times New Roman" w:hAnsi="Times New Roman" w:eastAsia="仿宋_GB2312" w:cs="仿宋_GB2312"/>
          <w:sz w:val="30"/>
          <w:szCs w:val="30"/>
          <w:lang w:val="zh-CN"/>
        </w:rPr>
        <w:t>2.03%</w:t>
      </w:r>
      <w:r>
        <w:rPr>
          <w:rFonts w:hint="eastAsia" w:ascii="Times New Roman" w:hAnsi="Times New Roman" w:eastAsia="仿宋_GB2312" w:cs="仿宋_GB2312"/>
          <w:sz w:val="30"/>
          <w:szCs w:val="30"/>
          <w:lang w:val="zh-CN"/>
        </w:rPr>
        <w:t>。</w:t>
      </w:r>
    </w:p>
    <w:p>
      <w:pPr>
        <w:autoSpaceDE w:val="0"/>
        <w:autoSpaceDN w:val="0"/>
        <w:adjustRightInd w:val="0"/>
        <w:spacing w:line="600" w:lineRule="exact"/>
        <w:ind w:firstLine="600" w:firstLineChars="200"/>
        <w:jc w:val="left"/>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其他收入617,400.00元，占0.28%。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天津市宝坻区民政局（本级）</w:t>
      </w:r>
      <w:r>
        <w:rPr>
          <w:rFonts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w:t>
      </w:r>
      <w:r>
        <w:rPr>
          <w:rFonts w:ascii="Times New Roman" w:hAnsi="Times New Roman" w:eastAsia="仿宋_GB2312" w:cs="仿宋_GB2312"/>
          <w:sz w:val="30"/>
          <w:szCs w:val="30"/>
        </w:rPr>
        <w:t>216,565,098.74</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仿宋_GB2312"/>
          <w:sz w:val="30"/>
          <w:szCs w:val="30"/>
        </w:rPr>
        <w:t>200,882,851.79</w:t>
      </w:r>
      <w:r>
        <w:rPr>
          <w:rFonts w:hint="eastAsia" w:ascii="Times New Roman" w:hAnsi="Times New Roman" w:eastAsia="仿宋_GB2312" w:cs="仿宋_GB2312"/>
          <w:sz w:val="30"/>
          <w:szCs w:val="30"/>
        </w:rPr>
        <w:t>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按规定，将以前往来款列入收支。</w:t>
      </w:r>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其中：基本支出</w:t>
      </w:r>
      <w:r>
        <w:rPr>
          <w:rFonts w:ascii="Times New Roman" w:hAnsi="Times New Roman" w:eastAsia="仿宋_GB2312" w:cs="仿宋_GB2312"/>
          <w:sz w:val="30"/>
          <w:szCs w:val="30"/>
        </w:rPr>
        <w:t>6,999,456.60</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3.23%</w:t>
      </w:r>
      <w:r>
        <w:rPr>
          <w:rFonts w:hint="eastAsia" w:ascii="Times New Roman" w:hAnsi="Times New Roman" w:eastAsia="仿宋_GB2312" w:cs="仿宋_GB2312"/>
          <w:sz w:val="30"/>
          <w:szCs w:val="30"/>
        </w:rPr>
        <w:t>；项目支出</w:t>
      </w:r>
      <w:r>
        <w:rPr>
          <w:rFonts w:ascii="Times New Roman" w:hAnsi="Times New Roman" w:eastAsia="仿宋_GB2312" w:cs="仿宋_GB2312"/>
          <w:sz w:val="30"/>
          <w:szCs w:val="30"/>
        </w:rPr>
        <w:t>209,565,642.14</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96.77%</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天津市宝坻区民政局（本级）</w:t>
      </w:r>
      <w:r>
        <w:rPr>
          <w:rFonts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ascii="Times New Roman" w:hAnsi="Times New Roman" w:eastAsia="仿宋_GB2312"/>
          <w:sz w:val="30"/>
          <w:szCs w:val="30"/>
          <w:lang w:val="zh-CN"/>
        </w:rPr>
        <w:t>215,963,862.98</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年度相比，财政拨款收、支总计各增加</w:t>
      </w:r>
      <w:r>
        <w:rPr>
          <w:rFonts w:ascii="Times New Roman" w:hAnsi="Times New Roman" w:eastAsia="仿宋_GB2312" w:cs="仿宋_GB2312"/>
          <w:sz w:val="30"/>
          <w:szCs w:val="30"/>
        </w:rPr>
        <w:t>200,855,896.47</w:t>
      </w:r>
      <w:r>
        <w:rPr>
          <w:rFonts w:hint="eastAsia" w:ascii="Times New Roman" w:hAnsi="Times New Roman" w:eastAsia="仿宋_GB2312" w:cs="仿宋_GB2312"/>
          <w:sz w:val="30"/>
          <w:szCs w:val="30"/>
        </w:rPr>
        <w:t>元，增长</w:t>
      </w:r>
      <w:r>
        <w:rPr>
          <w:rFonts w:ascii="Times New Roman" w:hAnsi="Times New Roman" w:eastAsia="仿宋_GB2312" w:cs="仿宋_GB2312"/>
          <w:sz w:val="30"/>
          <w:szCs w:val="30"/>
        </w:rPr>
        <w:t>1329.47</w:t>
      </w:r>
      <w:r>
        <w:rPr>
          <w:rFonts w:ascii="Times New Roman" w:hAnsi="Times New Roman" w:eastAsia="仿宋_GB2312"/>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按规定，将以前往来款列入收支。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天津市宝坻区民政局（本级）</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ascii="Times New Roman" w:hAnsi="Times New Roman" w:eastAsia="仿宋_GB2312" w:cs="仿宋_GB2312"/>
          <w:sz w:val="30"/>
          <w:szCs w:val="30"/>
        </w:rPr>
        <w:t>211,566,207.94</w:t>
      </w:r>
      <w:r>
        <w:rPr>
          <w:rFonts w:hint="eastAsia" w:ascii="Times New Roman" w:hAnsi="Times New Roman" w:eastAsia="仿宋_GB2312" w:cs="仿宋_GB2312"/>
          <w:sz w:val="30"/>
          <w:szCs w:val="30"/>
        </w:rPr>
        <w:t>元，占本年支出合计的</w:t>
      </w:r>
      <w:r>
        <w:rPr>
          <w:rFonts w:ascii="Times New Roman" w:hAnsi="Times New Roman" w:eastAsia="仿宋_GB2312" w:cs="仿宋_GB2312"/>
          <w:sz w:val="30"/>
          <w:szCs w:val="30"/>
        </w:rPr>
        <w:t>97.69%</w:t>
      </w:r>
      <w:r>
        <w:rPr>
          <w:rFonts w:hint="eastAsia" w:ascii="Times New Roman" w:hAnsi="Times New Roman" w:eastAsia="仿宋_GB2312" w:cs="仿宋_GB2312"/>
          <w:sz w:val="30"/>
          <w:szCs w:val="30"/>
        </w:rPr>
        <w:t>，与</w:t>
      </w:r>
      <w:r>
        <w:rPr>
          <w:rFonts w:ascii="Times New Roman" w:hAnsi="Times New Roman" w:eastAsia="仿宋_GB2312" w:cs="仿宋_GB2312"/>
          <w:sz w:val="30"/>
          <w:szCs w:val="30"/>
        </w:rPr>
        <w:t>2022</w:t>
      </w:r>
      <w:r>
        <w:rPr>
          <w:rFonts w:hint="eastAsia" w:ascii="Times New Roman" w:hAnsi="Times New Roman" w:eastAsia="仿宋_GB2312" w:cs="仿宋_GB2312"/>
          <w:sz w:val="30"/>
          <w:szCs w:val="30"/>
        </w:rPr>
        <w:t>年度相比，一般公共预算财政拨款支出增加</w:t>
      </w:r>
      <w:r>
        <w:rPr>
          <w:rFonts w:ascii="Times New Roman" w:hAnsi="Times New Roman" w:eastAsia="仿宋_GB2312" w:cs="仿宋_GB2312"/>
          <w:sz w:val="30"/>
          <w:szCs w:val="30"/>
        </w:rPr>
        <w:t>207,947,046.52</w:t>
      </w:r>
      <w:r>
        <w:rPr>
          <w:rFonts w:hint="eastAsia" w:ascii="Times New Roman" w:hAnsi="Times New Roman" w:eastAsia="仿宋_GB2312" w:cs="仿宋_GB2312"/>
          <w:sz w:val="30"/>
          <w:szCs w:val="30"/>
        </w:rPr>
        <w:t>元，增长</w:t>
      </w:r>
      <w:r>
        <w:rPr>
          <w:rFonts w:ascii="Times New Roman" w:hAnsi="Times New Roman" w:eastAsia="仿宋_GB2312" w:cs="仿宋_GB2312"/>
          <w:sz w:val="30"/>
          <w:szCs w:val="30"/>
        </w:rPr>
        <w:t>5745.72%</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：按规定，将以前往来款列入收支。</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年度一般公共预算财政拨款支出</w:t>
      </w:r>
      <w:r>
        <w:rPr>
          <w:rFonts w:ascii="Times New Roman" w:hAnsi="Times New Roman" w:eastAsia="仿宋_GB2312"/>
          <w:sz w:val="30"/>
          <w:szCs w:val="30"/>
        </w:rPr>
        <w:t>211,566,207.94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w:t>
      </w:r>
      <w:r>
        <w:rPr>
          <w:rFonts w:ascii="Times New Roman" w:hAnsi="Times New Roman" w:eastAsia="仿宋_GB2312" w:cs="仿宋_GB2312"/>
          <w:sz w:val="30"/>
          <w:szCs w:val="30"/>
        </w:rPr>
        <w:t>211,218,507.48</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99.84%</w:t>
      </w:r>
      <w:r>
        <w:rPr>
          <w:rFonts w:hint="eastAsia" w:ascii="Times New Roman" w:hAnsi="Times New Roman" w:eastAsia="仿宋_GB2312" w:cs="仿宋_GB2312"/>
          <w:sz w:val="30"/>
          <w:szCs w:val="30"/>
        </w:rPr>
        <w:t>；</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卫生健康支出</w:t>
      </w:r>
      <w:r>
        <w:rPr>
          <w:rFonts w:ascii="Times New Roman" w:hAnsi="Times New Roman" w:eastAsia="仿宋_GB2312" w:cs="仿宋_GB2312"/>
          <w:sz w:val="30"/>
          <w:szCs w:val="30"/>
        </w:rPr>
        <w:t>289,926.46</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0.14%</w:t>
      </w:r>
      <w:r>
        <w:rPr>
          <w:rFonts w:hint="eastAsia" w:ascii="Times New Roman" w:hAnsi="Times New Roman" w:eastAsia="仿宋_GB2312" w:cs="仿宋_GB2312"/>
          <w:sz w:val="30"/>
          <w:szCs w:val="30"/>
        </w:rPr>
        <w:t>；粮油物资储备支出</w:t>
      </w:r>
      <w:r>
        <w:rPr>
          <w:rFonts w:ascii="Times New Roman" w:hAnsi="Times New Roman" w:eastAsia="仿宋_GB2312" w:cs="仿宋_GB2312"/>
          <w:sz w:val="30"/>
          <w:szCs w:val="30"/>
        </w:rPr>
        <w:t>57,774.00</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0.02%</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bookmarkStart w:id="0" w:name="_GoBack"/>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年度一般公共预算财政拨款支出年初预算为</w:t>
      </w:r>
      <w:bookmarkEnd w:id="0"/>
      <w:r>
        <w:rPr>
          <w:rFonts w:ascii="Times New Roman" w:hAnsi="Times New Roman" w:eastAsia="仿宋_GB2312"/>
          <w:sz w:val="30"/>
          <w:szCs w:val="30"/>
        </w:rPr>
        <w:t>109,020,786.51</w:t>
      </w:r>
      <w:r>
        <w:rPr>
          <w:rFonts w:hint="eastAsia" w:ascii="Times New Roman" w:hAnsi="Times New Roman" w:eastAsia="仿宋_GB2312" w:cs="仿宋_GB2312"/>
          <w:kern w:val="0"/>
          <w:sz w:val="30"/>
          <w:szCs w:val="30"/>
        </w:rPr>
        <w:t>元，支出决算为</w:t>
      </w:r>
      <w:r>
        <w:rPr>
          <w:rFonts w:ascii="Times New Roman" w:hAnsi="Times New Roman" w:eastAsia="仿宋_GB2312"/>
          <w:sz w:val="30"/>
          <w:szCs w:val="30"/>
        </w:rPr>
        <w:t>211,566,207.94</w:t>
      </w:r>
      <w:r>
        <w:rPr>
          <w:rFonts w:hint="eastAsia" w:ascii="Times New Roman" w:hAnsi="Times New Roman" w:eastAsia="仿宋_GB2312" w:cs="仿宋_GB2312"/>
          <w:kern w:val="0"/>
          <w:sz w:val="30"/>
          <w:szCs w:val="30"/>
        </w:rPr>
        <w:t>元，完成年初预算的</w:t>
      </w:r>
      <w:r>
        <w:rPr>
          <w:rFonts w:ascii="Times New Roman" w:hAnsi="Times New Roman" w:eastAsia="仿宋_GB2312"/>
          <w:sz w:val="30"/>
          <w:szCs w:val="30"/>
        </w:rPr>
        <w:t>194.06%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社会保障和就业（类）社会保障和就业支出（款）行政运行（项）年初预算为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元，追加预算为</w:t>
      </w:r>
      <w:r>
        <w:rPr>
          <w:rFonts w:ascii="Times New Roman" w:hAnsi="Times New Roman" w:eastAsia="仿宋_GB2312" w:cs="仿宋_GB2312"/>
          <w:sz w:val="30"/>
          <w:szCs w:val="30"/>
        </w:rPr>
        <w:t>21,000.00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21,000.00</w:t>
      </w:r>
      <w:r>
        <w:rPr>
          <w:rFonts w:hint="eastAsia" w:ascii="Times New Roman" w:hAnsi="Times New Roman" w:eastAsia="仿宋_GB2312" w:cs="仿宋_GB2312"/>
          <w:sz w:val="30"/>
          <w:szCs w:val="30"/>
        </w:rPr>
        <w:t>元，完成追加预算的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，决算数等于追加预算数的主要原因是年中追加编制外精神文明奖并全部支出。</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社会保障和就业（类）民政管理事务（款）行政运行（项）年初预算为</w:t>
      </w:r>
      <w:r>
        <w:rPr>
          <w:rFonts w:ascii="Times New Roman" w:hAnsi="Times New Roman" w:eastAsia="仿宋_GB2312" w:cs="仿宋_GB2312"/>
          <w:sz w:val="30"/>
          <w:szCs w:val="30"/>
        </w:rPr>
        <w:t>7,916,000.00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7,744,293.77</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97.83%</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社会保障和就业支出（类）民政管理事务（款）基层政权建设和社区治理（项）年初预算为</w:t>
      </w:r>
      <w:r>
        <w:rPr>
          <w:rFonts w:ascii="Times New Roman" w:hAnsi="Times New Roman" w:eastAsia="仿宋_GB2312" w:cs="仿宋_GB2312"/>
          <w:sz w:val="30"/>
          <w:szCs w:val="30"/>
        </w:rPr>
        <w:t>24,860,000.00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18,328,284.65</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73.73%</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4.</w:t>
      </w:r>
      <w:r>
        <w:rPr>
          <w:rFonts w:hint="eastAsia" w:ascii="Times New Roman" w:hAnsi="Times New Roman" w:eastAsia="仿宋_GB2312" w:cs="仿宋_GB2312"/>
          <w:sz w:val="30"/>
          <w:szCs w:val="30"/>
        </w:rPr>
        <w:t>社会保障和就业支出（类）民政管理事务（款）其他民政管理事务支出（项）年初预算为</w:t>
      </w:r>
      <w:r>
        <w:rPr>
          <w:rFonts w:ascii="Times New Roman" w:hAnsi="Times New Roman" w:eastAsia="仿宋_GB2312" w:cs="仿宋_GB2312"/>
          <w:sz w:val="30"/>
          <w:szCs w:val="30"/>
        </w:rPr>
        <w:t>7,330,000.00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2,727,870.00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37.22%</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5.</w:t>
      </w:r>
      <w:r>
        <w:rPr>
          <w:rFonts w:hint="eastAsia" w:ascii="Times New Roman" w:hAnsi="Times New Roman" w:eastAsia="仿宋_GB2312" w:cs="仿宋_GB2312"/>
          <w:sz w:val="30"/>
          <w:szCs w:val="30"/>
        </w:rPr>
        <w:t>社会保障和就业支出（类）行政事业单位养老支出（款）机关事业单位基本养老保险费支出（项）年初预算为</w:t>
      </w:r>
      <w:r>
        <w:rPr>
          <w:rFonts w:ascii="Times New Roman" w:hAnsi="Times New Roman" w:eastAsia="仿宋_GB2312" w:cs="仿宋_GB2312"/>
          <w:sz w:val="30"/>
          <w:szCs w:val="30"/>
        </w:rPr>
        <w:t>398,500.00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373,509.60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93.73%</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6.</w:t>
      </w:r>
      <w:r>
        <w:rPr>
          <w:rFonts w:hint="eastAsia" w:ascii="Times New Roman" w:hAnsi="Times New Roman" w:eastAsia="仿宋_GB2312" w:cs="仿宋_GB2312"/>
          <w:sz w:val="30"/>
          <w:szCs w:val="30"/>
        </w:rPr>
        <w:t>社会保障和就业支出（类）行政事业单位养老支出（款）机关事业单位职业年金缴费支出（项）年初预算为</w:t>
      </w:r>
      <w:r>
        <w:rPr>
          <w:rFonts w:ascii="Times New Roman" w:hAnsi="Times New Roman" w:eastAsia="仿宋_GB2312" w:cs="仿宋_GB2312"/>
          <w:sz w:val="30"/>
          <w:szCs w:val="30"/>
        </w:rPr>
        <w:t>199,200.00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186,754.80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93.75%</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7.</w:t>
      </w:r>
      <w:r>
        <w:rPr>
          <w:rFonts w:hint="eastAsia" w:ascii="Times New Roman" w:hAnsi="Times New Roman" w:eastAsia="仿宋_GB2312" w:cs="仿宋_GB2312"/>
          <w:sz w:val="30"/>
          <w:szCs w:val="30"/>
        </w:rPr>
        <w:t>社会保障和就业支出（类）就业补助（款）就业创业服务补贴（项）年初预算为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元，追加预算为</w:t>
      </w:r>
      <w:r>
        <w:rPr>
          <w:rFonts w:ascii="Times New Roman" w:hAnsi="Times New Roman" w:eastAsia="仿宋_GB2312" w:cs="仿宋_GB2312"/>
          <w:sz w:val="30"/>
          <w:szCs w:val="30"/>
        </w:rPr>
        <w:t>287,564.93</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4,147,914.63</w:t>
      </w:r>
      <w:r>
        <w:rPr>
          <w:rFonts w:hint="eastAsia" w:ascii="Times New Roman" w:hAnsi="Times New Roman" w:eastAsia="仿宋_GB2312" w:cs="仿宋_GB2312"/>
          <w:sz w:val="30"/>
          <w:szCs w:val="30"/>
        </w:rPr>
        <w:t>元，完成追加预算的</w:t>
      </w:r>
      <w:r>
        <w:rPr>
          <w:rFonts w:ascii="Times New Roman" w:hAnsi="Times New Roman" w:eastAsia="仿宋_GB2312" w:cs="仿宋_GB2312"/>
          <w:sz w:val="30"/>
          <w:szCs w:val="30"/>
        </w:rPr>
        <w:t>1442.42%</w:t>
      </w:r>
      <w:r>
        <w:rPr>
          <w:rFonts w:hint="eastAsia" w:ascii="Times New Roman" w:hAnsi="Times New Roman" w:eastAsia="仿宋_GB2312" w:cs="仿宋_GB2312"/>
          <w:sz w:val="30"/>
          <w:szCs w:val="30"/>
        </w:rPr>
        <w:t>，决算数大于追加预算数的主要原因是</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年执行中按规定使用了以前年度结转资金。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8.</w:t>
      </w:r>
      <w:r>
        <w:rPr>
          <w:rFonts w:hint="eastAsia" w:ascii="Times New Roman" w:hAnsi="Times New Roman" w:eastAsia="仿宋_GB2312" w:cs="仿宋_GB2312"/>
          <w:sz w:val="30"/>
          <w:szCs w:val="30"/>
        </w:rPr>
        <w:t>社会保障和就业支出（类）退役安置（款）退役士兵安置（项）年初预算为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元，追加预算为</w:t>
      </w:r>
      <w:r>
        <w:rPr>
          <w:rFonts w:ascii="Times New Roman" w:hAnsi="Times New Roman" w:eastAsia="仿宋_GB2312" w:cs="仿宋_GB2312"/>
          <w:sz w:val="30"/>
          <w:szCs w:val="30"/>
        </w:rPr>
        <w:t>60,000.00</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60,000.00</w:t>
      </w:r>
      <w:r>
        <w:rPr>
          <w:rFonts w:hint="eastAsia" w:ascii="Times New Roman" w:hAnsi="Times New Roman" w:eastAsia="仿宋_GB2312" w:cs="仿宋_GB2312"/>
          <w:sz w:val="30"/>
          <w:szCs w:val="30"/>
        </w:rPr>
        <w:t>元，完成追加预算的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，决算数等于追加预算数的主要原因是年中追加退役士兵精神文明奖并全部支出。</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9.</w:t>
      </w:r>
      <w:r>
        <w:rPr>
          <w:rFonts w:hint="eastAsia" w:ascii="Times New Roman" w:hAnsi="Times New Roman" w:eastAsia="仿宋_GB2312" w:cs="仿宋_GB2312"/>
          <w:sz w:val="30"/>
          <w:szCs w:val="30"/>
        </w:rPr>
        <w:t>社会保障和就业支出（类）社会福利（款）老年福利（项）年初预算为</w:t>
      </w:r>
      <w:r>
        <w:rPr>
          <w:rFonts w:ascii="Times New Roman" w:hAnsi="Times New Roman" w:eastAsia="仿宋_GB2312" w:cs="仿宋_GB2312"/>
          <w:sz w:val="30"/>
          <w:szCs w:val="30"/>
        </w:rPr>
        <w:t>380,000.00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，决算数小于年初预算数的主要原因是老年福利支出未列支。</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10.</w:t>
      </w:r>
      <w:r>
        <w:rPr>
          <w:rFonts w:hint="eastAsia" w:ascii="Times New Roman" w:hAnsi="Times New Roman" w:eastAsia="仿宋_GB2312" w:cs="仿宋_GB2312"/>
          <w:sz w:val="30"/>
          <w:szCs w:val="30"/>
        </w:rPr>
        <w:t>社会保障和就业支出（类）社会福利（款）养老服务（项）年初预算为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600,000.00</w:t>
      </w:r>
      <w:r>
        <w:rPr>
          <w:rFonts w:hint="eastAsia" w:ascii="Times New Roman" w:hAnsi="Times New Roman" w:eastAsia="仿宋_GB2312" w:cs="仿宋_GB2312"/>
          <w:sz w:val="30"/>
          <w:szCs w:val="30"/>
        </w:rPr>
        <w:t>元，决算数大于年初预算数的主要原因是</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年执行中按规定使用了以前年度结转资金。</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11.</w:t>
      </w:r>
      <w:r>
        <w:rPr>
          <w:rFonts w:hint="eastAsia" w:ascii="Times New Roman" w:hAnsi="Times New Roman" w:eastAsia="仿宋_GB2312" w:cs="仿宋_GB2312"/>
          <w:sz w:val="30"/>
          <w:szCs w:val="30"/>
        </w:rPr>
        <w:t>社会保障和就业支出（类）残疾人事业（款）残疾人生活和护理补贴（项）年初预算为</w:t>
      </w:r>
      <w:r>
        <w:rPr>
          <w:rFonts w:ascii="Times New Roman" w:hAnsi="Times New Roman" w:eastAsia="仿宋_GB2312" w:cs="仿宋_GB2312"/>
          <w:sz w:val="30"/>
          <w:szCs w:val="30"/>
        </w:rPr>
        <w:t>17,640,000.00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33,763,580.00</w:t>
      </w:r>
      <w:r>
        <w:rPr>
          <w:rFonts w:hint="eastAsia" w:ascii="Times New Roman" w:hAnsi="Times New Roman" w:eastAsia="仿宋_GB2312" w:cs="仿宋_GB2312"/>
          <w:sz w:val="30"/>
          <w:szCs w:val="30"/>
        </w:rPr>
        <w:t>元，完成追加预算的</w:t>
      </w:r>
      <w:r>
        <w:rPr>
          <w:rFonts w:ascii="Times New Roman" w:hAnsi="Times New Roman" w:eastAsia="仿宋_GB2312" w:cs="仿宋_GB2312"/>
          <w:sz w:val="30"/>
          <w:szCs w:val="30"/>
        </w:rPr>
        <w:t>191.40%</w:t>
      </w:r>
      <w:r>
        <w:rPr>
          <w:rFonts w:hint="eastAsia" w:ascii="Times New Roman" w:hAnsi="Times New Roman" w:eastAsia="仿宋_GB2312" w:cs="仿宋_GB2312"/>
          <w:sz w:val="30"/>
          <w:szCs w:val="30"/>
        </w:rPr>
        <w:t>，决算数大于年初预算数的主要原因是年中追加重度残疾人护理补贴、困难残疾人生活补贴预算。</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12.</w:t>
      </w:r>
      <w:r>
        <w:rPr>
          <w:rFonts w:hint="eastAsia" w:ascii="Times New Roman" w:hAnsi="Times New Roman" w:eastAsia="仿宋_GB2312" w:cs="仿宋_GB2312"/>
          <w:sz w:val="30"/>
          <w:szCs w:val="30"/>
        </w:rPr>
        <w:t>社会保障和就业支出（类）最低生活保障（款）城市最低生活保障金支出（项）年初预算为</w:t>
      </w:r>
      <w:r>
        <w:rPr>
          <w:rFonts w:ascii="Times New Roman" w:hAnsi="Times New Roman" w:eastAsia="仿宋_GB2312" w:cs="仿宋_GB2312"/>
          <w:sz w:val="30"/>
          <w:szCs w:val="30"/>
        </w:rPr>
        <w:t>1,350,000.00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6,228,426.00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461.36%</w:t>
      </w:r>
      <w:r>
        <w:rPr>
          <w:rFonts w:hint="eastAsia" w:ascii="Times New Roman" w:hAnsi="Times New Roman" w:eastAsia="仿宋_GB2312" w:cs="仿宋_GB2312"/>
          <w:sz w:val="30"/>
          <w:szCs w:val="30"/>
        </w:rPr>
        <w:t>，决算数大于年初预算数的主要原因是年中追加城市最低生活保障金预算。</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13.</w:t>
      </w:r>
      <w:r>
        <w:rPr>
          <w:rFonts w:hint="eastAsia" w:ascii="Times New Roman" w:hAnsi="Times New Roman" w:eastAsia="仿宋_GB2312" w:cs="仿宋_GB2312"/>
          <w:sz w:val="30"/>
          <w:szCs w:val="30"/>
        </w:rPr>
        <w:t>社会保障和就业支出（类）最低生活保障（款）农村最低生活保障金支出（项）年初预算为</w:t>
      </w:r>
      <w:r>
        <w:rPr>
          <w:rFonts w:ascii="Times New Roman" w:hAnsi="Times New Roman" w:eastAsia="仿宋_GB2312" w:cs="仿宋_GB2312"/>
          <w:sz w:val="30"/>
          <w:szCs w:val="30"/>
        </w:rPr>
        <w:t>25,160,000.00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77,964,107.21</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309.87%</w:t>
      </w:r>
      <w:r>
        <w:rPr>
          <w:rFonts w:hint="eastAsia" w:ascii="Times New Roman" w:hAnsi="Times New Roman" w:eastAsia="仿宋_GB2312" w:cs="仿宋_GB2312"/>
          <w:sz w:val="30"/>
          <w:szCs w:val="30"/>
        </w:rPr>
        <w:t>，决算数大于年初预算数的主要原因是年中追加农村最低生活保障金预算。</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14.</w:t>
      </w:r>
      <w:r>
        <w:rPr>
          <w:rFonts w:hint="eastAsia" w:ascii="Times New Roman" w:hAnsi="Times New Roman" w:eastAsia="仿宋_GB2312" w:cs="仿宋_GB2312"/>
          <w:sz w:val="30"/>
          <w:szCs w:val="30"/>
        </w:rPr>
        <w:t>社会保障和就业支出（类）临时救助（款）临时救助支出（项）年初预算为</w:t>
      </w:r>
      <w:r>
        <w:rPr>
          <w:rFonts w:ascii="Times New Roman" w:hAnsi="Times New Roman" w:eastAsia="仿宋_GB2312" w:cs="仿宋_GB2312"/>
          <w:sz w:val="30"/>
          <w:szCs w:val="30"/>
        </w:rPr>
        <w:t>6,170,000.00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3,587,400.00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58.14%</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15.</w:t>
      </w:r>
      <w:r>
        <w:rPr>
          <w:rFonts w:hint="eastAsia" w:ascii="Times New Roman" w:hAnsi="Times New Roman" w:eastAsia="仿宋_GB2312" w:cs="仿宋_GB2312"/>
          <w:sz w:val="30"/>
          <w:szCs w:val="30"/>
        </w:rPr>
        <w:t>社会保障和就业支出（类）特困人员救助供养（款）城市特困人员救助供养（项）年初预算为</w:t>
      </w:r>
      <w:r>
        <w:rPr>
          <w:rFonts w:ascii="Times New Roman" w:hAnsi="Times New Roman" w:eastAsia="仿宋_GB2312" w:cs="仿宋_GB2312"/>
          <w:sz w:val="30"/>
          <w:szCs w:val="30"/>
        </w:rPr>
        <w:t>200,000.00</w:t>
      </w:r>
      <w:r>
        <w:rPr>
          <w:rFonts w:hint="eastAsia" w:ascii="Times New Roman" w:hAnsi="Times New Roman" w:eastAsia="仿宋_GB2312" w:cs="仿宋_GB2312"/>
          <w:sz w:val="30"/>
          <w:szCs w:val="30"/>
        </w:rPr>
        <w:t>元，追加预算为</w:t>
      </w:r>
      <w:r>
        <w:rPr>
          <w:rFonts w:ascii="Times New Roman" w:hAnsi="Times New Roman" w:eastAsia="仿宋_GB2312" w:cs="仿宋_GB2312"/>
          <w:sz w:val="30"/>
          <w:szCs w:val="30"/>
        </w:rPr>
        <w:t>768,588.97</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867,114.68</w:t>
      </w:r>
      <w:r>
        <w:rPr>
          <w:rFonts w:hint="eastAsia" w:ascii="Times New Roman" w:hAnsi="Times New Roman" w:eastAsia="仿宋_GB2312" w:cs="仿宋_GB2312"/>
          <w:sz w:val="30"/>
          <w:szCs w:val="30"/>
        </w:rPr>
        <w:t>元，完成追加预算的</w:t>
      </w:r>
      <w:r>
        <w:rPr>
          <w:rFonts w:ascii="Times New Roman" w:hAnsi="Times New Roman" w:eastAsia="仿宋_GB2312" w:cs="仿宋_GB2312"/>
          <w:sz w:val="30"/>
          <w:szCs w:val="30"/>
        </w:rPr>
        <w:t>89.52%</w:t>
      </w:r>
      <w:r>
        <w:rPr>
          <w:rFonts w:hint="eastAsia" w:ascii="Times New Roman" w:hAnsi="Times New Roman" w:eastAsia="仿宋_GB2312" w:cs="仿宋_GB2312"/>
          <w:sz w:val="30"/>
          <w:szCs w:val="30"/>
        </w:rPr>
        <w:t>，决算数大于年初预算数的主要原因是年中追加城市特困人员救助供养预算，按实际支出执行，预算有结余。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16.</w:t>
      </w:r>
      <w:r>
        <w:rPr>
          <w:rFonts w:hint="eastAsia" w:ascii="Times New Roman" w:hAnsi="Times New Roman" w:eastAsia="仿宋_GB2312" w:cs="仿宋_GB2312"/>
          <w:sz w:val="30"/>
          <w:szCs w:val="30"/>
        </w:rPr>
        <w:t>社会保障和就业支出（类）特困人员救助供养（款）农村特困人员救助供养（项）年初预算为</w:t>
      </w:r>
      <w:r>
        <w:rPr>
          <w:rFonts w:ascii="Times New Roman" w:hAnsi="Times New Roman" w:eastAsia="仿宋_GB2312" w:cs="仿宋_GB2312"/>
          <w:sz w:val="30"/>
          <w:szCs w:val="30"/>
        </w:rPr>
        <w:t>14,130,000.00</w:t>
      </w:r>
      <w:r>
        <w:rPr>
          <w:rFonts w:hint="eastAsia" w:ascii="Times New Roman" w:hAnsi="Times New Roman" w:eastAsia="仿宋_GB2312" w:cs="仿宋_GB2312"/>
          <w:sz w:val="30"/>
          <w:szCs w:val="30"/>
        </w:rPr>
        <w:t>元，追加预算为</w:t>
      </w:r>
      <w:r>
        <w:rPr>
          <w:rFonts w:ascii="Times New Roman" w:hAnsi="Times New Roman" w:eastAsia="仿宋_GB2312" w:cs="仿宋_GB2312"/>
          <w:sz w:val="30"/>
          <w:szCs w:val="30"/>
        </w:rPr>
        <w:t>35,505,000.00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47,406,252.14</w:t>
      </w:r>
      <w:r>
        <w:rPr>
          <w:rFonts w:hint="eastAsia" w:ascii="Times New Roman" w:hAnsi="Times New Roman" w:eastAsia="仿宋_GB2312" w:cs="仿宋_GB2312"/>
          <w:sz w:val="30"/>
          <w:szCs w:val="30"/>
        </w:rPr>
        <w:t>元，完成追加预算的</w:t>
      </w:r>
      <w:r>
        <w:rPr>
          <w:rFonts w:ascii="Times New Roman" w:hAnsi="Times New Roman" w:eastAsia="仿宋_GB2312" w:cs="仿宋_GB2312"/>
          <w:sz w:val="30"/>
          <w:szCs w:val="30"/>
        </w:rPr>
        <w:t>95.51%</w:t>
      </w:r>
      <w:r>
        <w:rPr>
          <w:rFonts w:hint="eastAsia" w:ascii="Times New Roman" w:hAnsi="Times New Roman" w:eastAsia="仿宋_GB2312" w:cs="仿宋_GB2312"/>
          <w:sz w:val="30"/>
          <w:szCs w:val="30"/>
        </w:rPr>
        <w:t>，决算数大于年初预算数的主要原因是年中追加了农村特困人员救助供养预算，按实际支出执行，预算有结余。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17.</w:t>
      </w:r>
      <w:r>
        <w:rPr>
          <w:rFonts w:hint="eastAsia" w:ascii="Times New Roman" w:hAnsi="Times New Roman" w:eastAsia="仿宋_GB2312" w:cs="仿宋_GB2312"/>
          <w:sz w:val="30"/>
          <w:szCs w:val="30"/>
        </w:rPr>
        <w:t>社会保障和就业支出（类）其他生活救助（款）其他城市生活救助（项）年初预算为</w:t>
      </w:r>
      <w:r>
        <w:rPr>
          <w:rFonts w:ascii="Times New Roman" w:hAnsi="Times New Roman" w:eastAsia="仿宋_GB2312" w:cs="仿宋_GB2312"/>
          <w:sz w:val="30"/>
          <w:szCs w:val="30"/>
        </w:rPr>
        <w:t>2,880,000.00</w:t>
      </w:r>
      <w:r>
        <w:rPr>
          <w:rFonts w:hint="eastAsia" w:ascii="Times New Roman" w:hAnsi="Times New Roman" w:eastAsia="仿宋_GB2312" w:cs="仿宋_GB2312"/>
          <w:sz w:val="30"/>
          <w:szCs w:val="30"/>
        </w:rPr>
        <w:t>元，追加预算为</w:t>
      </w:r>
      <w:r>
        <w:rPr>
          <w:rFonts w:ascii="Times New Roman" w:hAnsi="Times New Roman" w:eastAsia="仿宋_GB2312" w:cs="仿宋_GB2312"/>
          <w:sz w:val="30"/>
          <w:szCs w:val="30"/>
        </w:rPr>
        <w:t>4,320,000.00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7,200,000.00</w:t>
      </w:r>
      <w:r>
        <w:rPr>
          <w:rFonts w:hint="eastAsia" w:ascii="Times New Roman" w:hAnsi="Times New Roman" w:eastAsia="仿宋_GB2312" w:cs="仿宋_GB2312"/>
          <w:sz w:val="30"/>
          <w:szCs w:val="30"/>
        </w:rPr>
        <w:t>元，完成追加预算的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，决算数大于年初预算数的主要原因是年中追加了其他城市生活救助预算并全部支出。</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18.</w:t>
      </w:r>
      <w:r>
        <w:rPr>
          <w:rFonts w:hint="eastAsia" w:ascii="Times New Roman" w:hAnsi="Times New Roman" w:eastAsia="仿宋_GB2312" w:cs="仿宋_GB2312"/>
          <w:sz w:val="30"/>
          <w:szCs w:val="30"/>
        </w:rPr>
        <w:t>社会保障和就业支出（类）其他社会保障和就业支出（款）其他社会保障和就业支出（项）年初预算为</w:t>
      </w:r>
      <w:r>
        <w:rPr>
          <w:rFonts w:ascii="Times New Roman" w:hAnsi="Times New Roman" w:eastAsia="仿宋_GB2312" w:cs="仿宋_GB2312"/>
          <w:sz w:val="30"/>
          <w:szCs w:val="30"/>
        </w:rPr>
        <w:t>24,000.00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12,000.00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50.00%</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19.</w:t>
      </w:r>
      <w:r>
        <w:rPr>
          <w:rFonts w:hint="eastAsia" w:ascii="Times New Roman" w:hAnsi="Times New Roman" w:eastAsia="仿宋_GB2312" w:cs="仿宋_GB2312"/>
          <w:sz w:val="30"/>
          <w:szCs w:val="30"/>
        </w:rPr>
        <w:t>卫生健康支出（类）行政事业单位医疗（款）行政单位医疗（项）年初预算为</w:t>
      </w:r>
      <w:r>
        <w:rPr>
          <w:rFonts w:ascii="Times New Roman" w:hAnsi="Times New Roman" w:eastAsia="仿宋_GB2312" w:cs="仿宋_GB2312"/>
          <w:sz w:val="30"/>
          <w:szCs w:val="30"/>
        </w:rPr>
        <w:t>261,500.00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243,237.76</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93.02%</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20.</w:t>
      </w:r>
      <w:r>
        <w:rPr>
          <w:rFonts w:hint="eastAsia" w:ascii="Times New Roman" w:hAnsi="Times New Roman" w:eastAsia="仿宋_GB2312" w:cs="仿宋_GB2312"/>
          <w:sz w:val="30"/>
          <w:szCs w:val="30"/>
        </w:rPr>
        <w:t>卫生健康支出（类）行政事业单位医疗（款）公务员医疗补助（项）年初预算为</w:t>
      </w:r>
      <w:r>
        <w:rPr>
          <w:rFonts w:ascii="Times New Roman" w:hAnsi="Times New Roman" w:eastAsia="仿宋_GB2312" w:cs="仿宋_GB2312"/>
          <w:sz w:val="30"/>
          <w:szCs w:val="30"/>
        </w:rPr>
        <w:t>49,800.00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46,688.70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93.75%</w:t>
      </w:r>
      <w:r>
        <w:rPr>
          <w:rFonts w:hint="eastAsia" w:ascii="Times New Roman" w:hAnsi="Times New Roman" w:eastAsia="仿宋_GB2312" w:cs="仿宋_GB2312"/>
          <w:sz w:val="30"/>
          <w:szCs w:val="30"/>
        </w:rPr>
        <w:t>，决算数小于年初预算数的主要原因是按实际支出执行，预算有结余。</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ascii="Times New Roman" w:hAnsi="Times New Roman" w:eastAsia="仿宋_GB2312" w:cs="仿宋_GB2312"/>
          <w:sz w:val="30"/>
          <w:szCs w:val="30"/>
        </w:rPr>
        <w:t>21.</w:t>
      </w:r>
      <w:r>
        <w:rPr>
          <w:rFonts w:hint="eastAsia" w:ascii="Times New Roman" w:hAnsi="Times New Roman" w:eastAsia="仿宋_GB2312" w:cs="仿宋_GB2312"/>
          <w:sz w:val="30"/>
          <w:szCs w:val="30"/>
        </w:rPr>
        <w:t>粮油物资储备支出（类）粮油物资事务（款）其他粮油物资事务支出（项）年初预算为</w:t>
      </w:r>
      <w:r>
        <w:rPr>
          <w:rFonts w:ascii="Times New Roman" w:hAnsi="Times New Roman" w:eastAsia="仿宋_GB2312" w:cs="仿宋_GB2312"/>
          <w:sz w:val="30"/>
          <w:szCs w:val="30"/>
        </w:rPr>
        <w:t>65,000.00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57,774.00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88.88%</w:t>
      </w:r>
      <w:r>
        <w:rPr>
          <w:rFonts w:hint="eastAsia" w:ascii="Times New Roman" w:hAnsi="Times New Roman" w:eastAsia="仿宋_GB2312" w:cs="仿宋_GB2312"/>
          <w:sz w:val="30"/>
          <w:szCs w:val="30"/>
        </w:rPr>
        <w:t>，决算数小于年初预算数的主要原因是按实际支出执行，预算有结余。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天津市宝坻区民政局（本级）</w:t>
      </w:r>
      <w:r>
        <w:rPr>
          <w:rFonts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ascii="Times New Roman" w:hAnsi="Times New Roman" w:eastAsia="仿宋_GB2312"/>
          <w:sz w:val="30"/>
          <w:szCs w:val="30"/>
        </w:rPr>
        <w:t>6,999,456.60</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仿宋_GB2312"/>
          <w:sz w:val="30"/>
          <w:szCs w:val="30"/>
        </w:rPr>
        <w:t>3,380,295.18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按规定，将以前往来款列入收支。</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ascii="Times New Roman" w:hAnsi="Times New Roman" w:eastAsia="仿宋_GB2312"/>
          <w:sz w:val="30"/>
          <w:szCs w:val="30"/>
        </w:rPr>
        <w:t>6,148,965.54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抚恤金、生活补助、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ascii="Times New Roman" w:hAnsi="Times New Roman" w:eastAsia="仿宋_GB2312"/>
          <w:sz w:val="30"/>
          <w:szCs w:val="30"/>
        </w:rPr>
        <w:t>850,491.06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办公费、手续费、水费、电费、邮电费、物业管理费、差旅费、维修</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护</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费、劳务费、工会经费、福利费、其他交通费用。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天津市宝坻区民政局（本级）</w:t>
      </w:r>
      <w:r>
        <w:rPr>
          <w:rFonts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ascii="Times New Roman" w:hAnsi="Times New Roman" w:eastAsia="仿宋_GB2312"/>
          <w:sz w:val="30"/>
          <w:szCs w:val="30"/>
        </w:rPr>
        <w:t>5,000.00</w:t>
      </w:r>
      <w:r>
        <w:rPr>
          <w:rFonts w:hint="eastAsia" w:ascii="Times New Roman" w:hAnsi="Times New Roman" w:eastAsia="仿宋_GB2312" w:cs="仿宋_GB2312"/>
          <w:kern w:val="0"/>
          <w:sz w:val="30"/>
          <w:szCs w:val="30"/>
        </w:rPr>
        <w:t>元，收入</w:t>
      </w:r>
      <w:r>
        <w:rPr>
          <w:rFonts w:ascii="Times New Roman" w:hAnsi="Times New Roman" w:eastAsia="仿宋_GB2312"/>
          <w:sz w:val="30"/>
          <w:szCs w:val="30"/>
        </w:rPr>
        <w:t>4,389,809.00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ascii="Times New Roman" w:hAnsi="Times New Roman" w:eastAsia="仿宋_GB2312"/>
          <w:sz w:val="30"/>
          <w:szCs w:val="30"/>
        </w:rPr>
        <w:t>4,394,809.00</w:t>
      </w:r>
      <w:r>
        <w:rPr>
          <w:rFonts w:hint="eastAsia" w:ascii="Times New Roman" w:hAnsi="Times New Roman" w:eastAsia="仿宋_GB2312" w:cs="仿宋_GB2312"/>
          <w:sz w:val="30"/>
          <w:szCs w:val="30"/>
        </w:rPr>
        <w:t>元，年末结转和结余</w:t>
      </w:r>
      <w:r>
        <w:rPr>
          <w:rFonts w:ascii="Times New Roman" w:hAnsi="Times New Roman" w:eastAsia="仿宋_GB2312"/>
          <w:sz w:val="30"/>
          <w:szCs w:val="30"/>
        </w:rPr>
        <w:t>0.00</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年度相比，政府性基金财政拨款支出减少</w:t>
      </w:r>
      <w:r>
        <w:rPr>
          <w:rFonts w:ascii="Times New Roman" w:hAnsi="Times New Roman" w:eastAsia="仿宋_GB2312" w:cs="仿宋_GB2312"/>
          <w:sz w:val="30"/>
          <w:szCs w:val="30"/>
        </w:rPr>
        <w:t>7,082,209.58</w:t>
      </w:r>
      <w:r>
        <w:rPr>
          <w:rFonts w:hint="eastAsia" w:ascii="Times New Roman" w:hAnsi="Times New Roman" w:eastAsia="仿宋_GB2312" w:cs="仿宋_GB2312"/>
          <w:sz w:val="30"/>
          <w:szCs w:val="30"/>
        </w:rPr>
        <w:t>元，下降</w:t>
      </w:r>
      <w:r>
        <w:rPr>
          <w:rFonts w:ascii="Times New Roman" w:hAnsi="Times New Roman" w:eastAsia="仿宋_GB2312" w:cs="仿宋_GB2312"/>
          <w:sz w:val="30"/>
          <w:szCs w:val="30"/>
        </w:rPr>
        <w:t>61.71%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养老服务业资金收支同比减少。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天津市宝坻区民政局（本级）</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年预算相比</w:t>
      </w:r>
      <w:r>
        <w:rPr>
          <w:rFonts w:hint="eastAsia" w:ascii="Times New Roman" w:hAnsi="Times New Roman" w:eastAsia="仿宋_GB2312" w:cs="仿宋_GB2312"/>
          <w:sz w:val="30"/>
          <w:szCs w:val="30"/>
        </w:rPr>
        <w:t>持平</w:t>
      </w:r>
      <w:r>
        <w:rPr>
          <w:rFonts w:ascii="Times New Roman" w:hAnsi="Times New Roman" w:eastAsia="仿宋_GB2312"/>
          <w:kern w:val="0"/>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本年度未用财政拨款经费列支“三公”经费预算。</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本年度未用财政拨款经费列支因公出国（境）费预算。</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年本单位组织的出国团组</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个，出国</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本年度未用财政拨款经费列支公务用车购置及运行维护费预算。</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本年度未用财政拨款经费列支公务用车运行维护费预算。</w:t>
      </w:r>
    </w:p>
    <w:p>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年使用财政拨款开支运行维护费的公务用车保有量为</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本年度未用财政拨款经费列支公务用车购置费预算。</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年购置公务用车</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年本单位国内公务接待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人次；其中，外事接待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kern w:val="0"/>
          <w:sz w:val="30"/>
          <w:szCs w:val="30"/>
        </w:rPr>
        <w:t>天津市宝坻区民政局（本级）</w:t>
      </w:r>
      <w:r>
        <w:rPr>
          <w:rFonts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ascii="Times New Roman" w:hAnsi="Times New Roman" w:eastAsia="仿宋_GB2312"/>
          <w:kern w:val="0"/>
          <w:sz w:val="30"/>
          <w:szCs w:val="30"/>
        </w:rPr>
        <w:t>850,491.06</w:t>
      </w:r>
      <w:r>
        <w:rPr>
          <w:rFonts w:hint="eastAsia" w:ascii="Times New Roman" w:hAnsi="Times New Roman" w:eastAsia="仿宋_GB2312" w:cs="仿宋_GB2312"/>
          <w:kern w:val="0"/>
          <w:sz w:val="30"/>
          <w:szCs w:val="30"/>
        </w:rPr>
        <w:t>元，比</w:t>
      </w:r>
      <w:r>
        <w:rPr>
          <w:rFonts w:ascii="Times New Roman" w:hAnsi="Times New Roman" w:eastAsia="仿宋_GB2312"/>
          <w:kern w:val="0"/>
          <w:sz w:val="30"/>
          <w:szCs w:val="30"/>
        </w:rPr>
        <w:t>2022</w:t>
      </w:r>
      <w:r>
        <w:rPr>
          <w:rFonts w:hint="eastAsia" w:ascii="Times New Roman" w:hAnsi="Times New Roman" w:eastAsia="仿宋_GB2312" w:cs="仿宋_GB2312"/>
          <w:kern w:val="0"/>
          <w:sz w:val="30"/>
          <w:szCs w:val="30"/>
        </w:rPr>
        <w:t>年增加</w:t>
      </w:r>
      <w:r>
        <w:rPr>
          <w:rFonts w:ascii="Times New Roman" w:hAnsi="Times New Roman" w:eastAsia="仿宋_GB2312" w:cs="仿宋_GB2312"/>
          <w:kern w:val="0"/>
          <w:sz w:val="30"/>
          <w:szCs w:val="30"/>
        </w:rPr>
        <w:t>850,491.06</w:t>
      </w:r>
      <w:r>
        <w:rPr>
          <w:rFonts w:hint="eastAsia" w:ascii="Times New Roman" w:hAnsi="Times New Roman" w:eastAsia="仿宋_GB2312" w:cs="仿宋_GB2312"/>
          <w:kern w:val="0"/>
          <w:sz w:val="30"/>
          <w:szCs w:val="30"/>
        </w:rPr>
        <w:t>元，增长</w:t>
      </w:r>
      <w:r>
        <w:rPr>
          <w:rFonts w:ascii="Times New Roman" w:hAnsi="Times New Roman" w:eastAsia="仿宋_GB2312" w:cs="仿宋_GB2312"/>
          <w:kern w:val="0"/>
          <w:sz w:val="30"/>
          <w:szCs w:val="30"/>
        </w:rPr>
        <w:t>100.00</w:t>
      </w:r>
      <w:r>
        <w:rPr>
          <w:rFonts w:ascii="Times New Roman" w:hAnsi="Times New Roman" w:eastAsia="仿宋_GB2312"/>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按规定，将以前往来款列入收支。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天津市宝坻区民政局（本级）</w:t>
      </w:r>
      <w:r>
        <w:rPr>
          <w:rFonts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ascii="Times New Roman" w:hAnsi="Times New Roman" w:eastAsia="仿宋_GB2312"/>
          <w:kern w:val="0"/>
          <w:sz w:val="30"/>
          <w:szCs w:val="30"/>
        </w:rPr>
        <w:t>4,700,339.00</w:t>
      </w:r>
      <w:r>
        <w:rPr>
          <w:rFonts w:hint="eastAsia" w:ascii="Times New Roman" w:hAnsi="Times New Roman" w:eastAsia="仿宋_GB2312" w:cs="仿宋_GB2312"/>
          <w:color w:val="000000"/>
          <w:kern w:val="0"/>
          <w:sz w:val="30"/>
          <w:szCs w:val="30"/>
        </w:rPr>
        <w:t>元，其中：政府采购货物支出</w:t>
      </w:r>
      <w:r>
        <w:rPr>
          <w:rFonts w:ascii="Times New Roman" w:hAnsi="Times New Roman" w:eastAsia="仿宋_GB2312"/>
          <w:kern w:val="0"/>
          <w:sz w:val="30"/>
          <w:szCs w:val="30"/>
        </w:rPr>
        <w:t>2,211,180.00</w:t>
      </w:r>
      <w:r>
        <w:rPr>
          <w:rFonts w:hint="eastAsia" w:ascii="Times New Roman" w:hAnsi="Times New Roman" w:eastAsia="仿宋_GB2312" w:cs="仿宋_GB2312"/>
          <w:color w:val="000000"/>
          <w:kern w:val="0"/>
          <w:sz w:val="30"/>
          <w:szCs w:val="30"/>
        </w:rPr>
        <w:t>元、政府采购工程支出</w:t>
      </w:r>
      <w:r>
        <w:rPr>
          <w:rFonts w:ascii="Times New Roman" w:hAnsi="Times New Roman" w:eastAsia="仿宋_GB2312"/>
          <w:kern w:val="0"/>
          <w:sz w:val="30"/>
          <w:szCs w:val="30"/>
        </w:rPr>
        <w:t>0.00</w:t>
      </w:r>
      <w:r>
        <w:rPr>
          <w:rFonts w:hint="eastAsia" w:ascii="Times New Roman" w:hAnsi="Times New Roman" w:eastAsia="仿宋_GB2312" w:cs="仿宋_GB2312"/>
          <w:color w:val="000000"/>
          <w:kern w:val="0"/>
          <w:sz w:val="30"/>
          <w:szCs w:val="30"/>
        </w:rPr>
        <w:t>元、政府采购服务支出</w:t>
      </w:r>
      <w:r>
        <w:rPr>
          <w:rFonts w:ascii="Times New Roman" w:hAnsi="Times New Roman" w:eastAsia="仿宋_GB2312"/>
          <w:kern w:val="0"/>
          <w:sz w:val="30"/>
          <w:szCs w:val="30"/>
        </w:rPr>
        <w:t>2,489,159.00</w:t>
      </w:r>
      <w:r>
        <w:rPr>
          <w:rFonts w:hint="eastAsia" w:ascii="Times New Roman" w:hAnsi="Times New Roman" w:eastAsia="仿宋_GB2312" w:cs="仿宋_GB2312"/>
          <w:color w:val="000000"/>
          <w:kern w:val="0"/>
          <w:sz w:val="30"/>
          <w:szCs w:val="30"/>
        </w:rPr>
        <w:t>元。授予中小企业合同金额</w:t>
      </w:r>
      <w:r>
        <w:rPr>
          <w:rFonts w:ascii="Times New Roman" w:hAnsi="Times New Roman" w:eastAsia="仿宋_GB2312"/>
          <w:kern w:val="0"/>
          <w:sz w:val="30"/>
          <w:szCs w:val="30"/>
        </w:rPr>
        <w:t>3,112,429.00</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kern w:val="0"/>
          <w:sz w:val="30"/>
          <w:szCs w:val="30"/>
        </w:rPr>
        <w:t>66.22%</w:t>
      </w:r>
      <w:r>
        <w:rPr>
          <w:rFonts w:hint="eastAsia" w:ascii="Times New Roman" w:hAnsi="Times New Roman" w:eastAsia="仿宋_GB2312" w:cs="仿宋_GB2312"/>
          <w:color w:val="000000"/>
          <w:kern w:val="0"/>
          <w:sz w:val="30"/>
          <w:szCs w:val="30"/>
        </w:rPr>
        <w:t>，其中：授予小微企业合同金额</w:t>
      </w:r>
      <w:r>
        <w:rPr>
          <w:rFonts w:ascii="Times New Roman" w:hAnsi="Times New Roman" w:eastAsia="仿宋_GB2312"/>
          <w:kern w:val="0"/>
          <w:sz w:val="30"/>
          <w:szCs w:val="30"/>
        </w:rPr>
        <w:t>1,160,886.00</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kern w:val="0"/>
          <w:sz w:val="30"/>
          <w:szCs w:val="30"/>
        </w:rPr>
        <w:t>24.7%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ascii="Times New Roman" w:hAnsi="Times New Roman" w:eastAsia="仿宋_GB2312" w:cs="仿宋_GB2312"/>
          <w:sz w:val="30"/>
          <w:szCs w:val="30"/>
        </w:rPr>
        <w:t>96.93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ascii="Times New Roman" w:hAnsi="Times New Roman" w:eastAsia="仿宋_GB2312" w:cs="仿宋_GB2312"/>
          <w:sz w:val="30"/>
          <w:szCs w:val="30"/>
        </w:rPr>
        <w:t>38.94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天津市宝坻区民政局（本级）</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根据预算绩效管理要求，天津市宝坻区民政局（本级）</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年度已对</w:t>
      </w:r>
      <w:r>
        <w:rPr>
          <w:rFonts w:ascii="Times New Roman" w:hAnsi="Times New Roman" w:eastAsia="仿宋_GB2312" w:cs="仿宋_GB2312"/>
          <w:sz w:val="30"/>
          <w:szCs w:val="30"/>
        </w:rPr>
        <w:t>29</w:t>
      </w:r>
      <w:r>
        <w:rPr>
          <w:rFonts w:hint="eastAsia" w:ascii="Times New Roman" w:hAnsi="Times New Roman" w:eastAsia="仿宋_GB2312" w:cs="仿宋_GB2312"/>
          <w:sz w:val="30"/>
          <w:szCs w:val="30"/>
        </w:rPr>
        <w:t>个项目开展绩效自评，涉及金额230,069,100.00元，自评结果已随部门决算一并公开；本单位</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天津市宝坻区民政局（本级）不属于乡、镇、街级单位，不涉及公开</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IxZDU4OTM4YjM3NjU5ZGUyNTk2MDc2N2U2ZWQyMjYifQ=="/>
  </w:docVars>
  <w:rsids>
    <w:rsidRoot w:val="006A094D"/>
    <w:rsid w:val="00001C0E"/>
    <w:rsid w:val="00005F0B"/>
    <w:rsid w:val="00013A12"/>
    <w:rsid w:val="0001776B"/>
    <w:rsid w:val="0002687D"/>
    <w:rsid w:val="00036559"/>
    <w:rsid w:val="00047C6F"/>
    <w:rsid w:val="000528EE"/>
    <w:rsid w:val="000719FD"/>
    <w:rsid w:val="000B5C71"/>
    <w:rsid w:val="000D4B98"/>
    <w:rsid w:val="000E355A"/>
    <w:rsid w:val="00127EFA"/>
    <w:rsid w:val="00130302"/>
    <w:rsid w:val="00142888"/>
    <w:rsid w:val="00152EEB"/>
    <w:rsid w:val="00153077"/>
    <w:rsid w:val="00167CB7"/>
    <w:rsid w:val="0018340A"/>
    <w:rsid w:val="001A0E4F"/>
    <w:rsid w:val="001B5C3C"/>
    <w:rsid w:val="001C0399"/>
    <w:rsid w:val="001D587E"/>
    <w:rsid w:val="002124F6"/>
    <w:rsid w:val="00264B59"/>
    <w:rsid w:val="002A4997"/>
    <w:rsid w:val="002A5854"/>
    <w:rsid w:val="002D37EB"/>
    <w:rsid w:val="002D5C8C"/>
    <w:rsid w:val="002E6086"/>
    <w:rsid w:val="003009B1"/>
    <w:rsid w:val="00302490"/>
    <w:rsid w:val="003227B2"/>
    <w:rsid w:val="00325486"/>
    <w:rsid w:val="00345909"/>
    <w:rsid w:val="003536BE"/>
    <w:rsid w:val="00395B81"/>
    <w:rsid w:val="003B25FB"/>
    <w:rsid w:val="003C10FB"/>
    <w:rsid w:val="003D7D00"/>
    <w:rsid w:val="00402935"/>
    <w:rsid w:val="00487E8A"/>
    <w:rsid w:val="004A482F"/>
    <w:rsid w:val="004F39BF"/>
    <w:rsid w:val="005062D7"/>
    <w:rsid w:val="005175E6"/>
    <w:rsid w:val="00525157"/>
    <w:rsid w:val="005349A2"/>
    <w:rsid w:val="00575537"/>
    <w:rsid w:val="00585D7F"/>
    <w:rsid w:val="005B4693"/>
    <w:rsid w:val="005D1367"/>
    <w:rsid w:val="005D3F56"/>
    <w:rsid w:val="00642DDB"/>
    <w:rsid w:val="00654D17"/>
    <w:rsid w:val="006623EC"/>
    <w:rsid w:val="006A094D"/>
    <w:rsid w:val="006A469B"/>
    <w:rsid w:val="006D2409"/>
    <w:rsid w:val="006D7F3D"/>
    <w:rsid w:val="006E65DB"/>
    <w:rsid w:val="007232B0"/>
    <w:rsid w:val="007332A8"/>
    <w:rsid w:val="007518FC"/>
    <w:rsid w:val="00776FF3"/>
    <w:rsid w:val="0078156E"/>
    <w:rsid w:val="00786837"/>
    <w:rsid w:val="00786E74"/>
    <w:rsid w:val="007970B0"/>
    <w:rsid w:val="007D1285"/>
    <w:rsid w:val="007E49E1"/>
    <w:rsid w:val="007F6DA7"/>
    <w:rsid w:val="008174D5"/>
    <w:rsid w:val="00853EF5"/>
    <w:rsid w:val="00885126"/>
    <w:rsid w:val="0089698B"/>
    <w:rsid w:val="008D48A9"/>
    <w:rsid w:val="008D4FBC"/>
    <w:rsid w:val="00941A30"/>
    <w:rsid w:val="00952519"/>
    <w:rsid w:val="00963A47"/>
    <w:rsid w:val="00977DCC"/>
    <w:rsid w:val="009820CF"/>
    <w:rsid w:val="00982A8B"/>
    <w:rsid w:val="009A7ED3"/>
    <w:rsid w:val="009B16B9"/>
    <w:rsid w:val="009D74D7"/>
    <w:rsid w:val="00A455CB"/>
    <w:rsid w:val="00A560A4"/>
    <w:rsid w:val="00A57AE7"/>
    <w:rsid w:val="00AF71AE"/>
    <w:rsid w:val="00B1505C"/>
    <w:rsid w:val="00B33C70"/>
    <w:rsid w:val="00B75228"/>
    <w:rsid w:val="00B811F1"/>
    <w:rsid w:val="00B81B9F"/>
    <w:rsid w:val="00BA36A6"/>
    <w:rsid w:val="00BC763A"/>
    <w:rsid w:val="00BC7D6F"/>
    <w:rsid w:val="00BD3CAC"/>
    <w:rsid w:val="00BE0A13"/>
    <w:rsid w:val="00BF3262"/>
    <w:rsid w:val="00BF697A"/>
    <w:rsid w:val="00C52E77"/>
    <w:rsid w:val="00C65A44"/>
    <w:rsid w:val="00C76AC3"/>
    <w:rsid w:val="00C83EB4"/>
    <w:rsid w:val="00C84B65"/>
    <w:rsid w:val="00CA3C88"/>
    <w:rsid w:val="00D4505A"/>
    <w:rsid w:val="00D65B41"/>
    <w:rsid w:val="00D87936"/>
    <w:rsid w:val="00DC3234"/>
    <w:rsid w:val="00DC3CD0"/>
    <w:rsid w:val="00DD60B5"/>
    <w:rsid w:val="00E5729F"/>
    <w:rsid w:val="00E7602B"/>
    <w:rsid w:val="00E964B2"/>
    <w:rsid w:val="00EA6549"/>
    <w:rsid w:val="00EE232F"/>
    <w:rsid w:val="00EE369D"/>
    <w:rsid w:val="00F007FE"/>
    <w:rsid w:val="00FA2917"/>
    <w:rsid w:val="017D4A3B"/>
    <w:rsid w:val="01A10E80"/>
    <w:rsid w:val="029D518A"/>
    <w:rsid w:val="03311B3F"/>
    <w:rsid w:val="03901927"/>
    <w:rsid w:val="05CA273A"/>
    <w:rsid w:val="05E55C53"/>
    <w:rsid w:val="069A035E"/>
    <w:rsid w:val="07267E44"/>
    <w:rsid w:val="07425D24"/>
    <w:rsid w:val="07A23238"/>
    <w:rsid w:val="085D1644"/>
    <w:rsid w:val="09907DC0"/>
    <w:rsid w:val="0A7D5D1A"/>
    <w:rsid w:val="0AF018E5"/>
    <w:rsid w:val="0B1428B6"/>
    <w:rsid w:val="0B2716A6"/>
    <w:rsid w:val="0B2E72C7"/>
    <w:rsid w:val="0C411F0C"/>
    <w:rsid w:val="0CDD71F7"/>
    <w:rsid w:val="0D664210"/>
    <w:rsid w:val="0DA7267B"/>
    <w:rsid w:val="0DFB4FC0"/>
    <w:rsid w:val="0E267459"/>
    <w:rsid w:val="0EBB5316"/>
    <w:rsid w:val="0F4936D8"/>
    <w:rsid w:val="0F6701F2"/>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79102A"/>
    <w:rsid w:val="199A3054"/>
    <w:rsid w:val="1A1104E0"/>
    <w:rsid w:val="1A404E9F"/>
    <w:rsid w:val="1AA54268"/>
    <w:rsid w:val="1B173F14"/>
    <w:rsid w:val="1B4641B9"/>
    <w:rsid w:val="1B520DB0"/>
    <w:rsid w:val="1B5D5A1E"/>
    <w:rsid w:val="1B7A68EC"/>
    <w:rsid w:val="1CCA277E"/>
    <w:rsid w:val="1DBD1C98"/>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464019"/>
    <w:rsid w:val="2C800474"/>
    <w:rsid w:val="2C8F0671"/>
    <w:rsid w:val="2D5A0475"/>
    <w:rsid w:val="2DA05507"/>
    <w:rsid w:val="2E487134"/>
    <w:rsid w:val="2E8C3709"/>
    <w:rsid w:val="2F146650"/>
    <w:rsid w:val="2FA13000"/>
    <w:rsid w:val="2FB64A38"/>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7DC3A83"/>
    <w:rsid w:val="381E22EE"/>
    <w:rsid w:val="3AF75A0B"/>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DC340D4"/>
    <w:rsid w:val="4E4E3945"/>
    <w:rsid w:val="4E8C7B5A"/>
    <w:rsid w:val="4F167E2F"/>
    <w:rsid w:val="4F391364"/>
    <w:rsid w:val="4FA424E7"/>
    <w:rsid w:val="4FBD62FD"/>
    <w:rsid w:val="4FD337AC"/>
    <w:rsid w:val="4FE523CE"/>
    <w:rsid w:val="5236167C"/>
    <w:rsid w:val="527E673F"/>
    <w:rsid w:val="52A37398"/>
    <w:rsid w:val="53C102A5"/>
    <w:rsid w:val="54380029"/>
    <w:rsid w:val="54A61249"/>
    <w:rsid w:val="54F16968"/>
    <w:rsid w:val="55AC416B"/>
    <w:rsid w:val="564C0516"/>
    <w:rsid w:val="5713248B"/>
    <w:rsid w:val="57833AC4"/>
    <w:rsid w:val="578735B4"/>
    <w:rsid w:val="58C3061C"/>
    <w:rsid w:val="58E93DFA"/>
    <w:rsid w:val="599E4BE5"/>
    <w:rsid w:val="5A1C0F73"/>
    <w:rsid w:val="5A601E9A"/>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584349"/>
    <w:rsid w:val="79823BB7"/>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semiHidden/>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locked/>
    <w:uiPriority w:val="99"/>
    <w:rPr>
      <w:rFonts w:ascii="方正小标宋简体" w:eastAsia="方正小标宋简体" w:cs="Times New Roman"/>
      <w:kern w:val="0"/>
      <w:sz w:val="24"/>
      <w:szCs w:val="24"/>
    </w:rPr>
  </w:style>
  <w:style w:type="character" w:customStyle="1" w:styleId="10">
    <w:name w:val="标题 2 Char"/>
    <w:basedOn w:val="8"/>
    <w:link w:val="3"/>
    <w:locked/>
    <w:uiPriority w:val="99"/>
    <w:rPr>
      <w:rFonts w:ascii="方正小标宋简体" w:eastAsia="方正小标宋简体" w:cs="Times New Roman"/>
      <w:kern w:val="0"/>
      <w:sz w:val="24"/>
      <w:szCs w:val="24"/>
    </w:rPr>
  </w:style>
  <w:style w:type="character" w:customStyle="1" w:styleId="11">
    <w:name w:val="批注文字 Char"/>
    <w:basedOn w:val="8"/>
    <w:link w:val="4"/>
    <w:semiHidden/>
    <w:qFormat/>
    <w:locked/>
    <w:uiPriority w:val="99"/>
    <w:rPr>
      <w:rFonts w:cs="Times New Roman"/>
    </w:rPr>
  </w:style>
  <w:style w:type="character" w:customStyle="1" w:styleId="12">
    <w:name w:val="页脚 Char"/>
    <w:basedOn w:val="8"/>
    <w:link w:val="5"/>
    <w:locked/>
    <w:uiPriority w:val="99"/>
    <w:rPr>
      <w:rFonts w:cs="Times New Roman"/>
      <w:sz w:val="18"/>
      <w:szCs w:val="18"/>
    </w:rPr>
  </w:style>
  <w:style w:type="character" w:customStyle="1" w:styleId="13">
    <w:name w:val="页眉 Char"/>
    <w:basedOn w:val="8"/>
    <w:link w:val="6"/>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5798</Words>
  <Characters>1456</Characters>
  <Lines>12</Lines>
  <Paragraphs>14</Paragraphs>
  <TotalTime>412</TotalTime>
  <ScaleCrop>false</ScaleCrop>
  <LinksUpToDate>false</LinksUpToDate>
  <CharactersWithSpaces>7240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夏殇</cp:lastModifiedBy>
  <dcterms:modified xsi:type="dcterms:W3CDTF">2024-09-14T01:15:57Z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A44E0A178634409BBBA50D5636087390_13</vt:lpwstr>
  </property>
</Properties>
</file>