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宝坻区科技局</w:t>
      </w:r>
      <w:r>
        <w:rPr>
          <w:rFonts w:hint="eastAsia" w:ascii="方正小标宋简体" w:hAnsi="方正小标宋简体" w:eastAsia="方正小标宋简体" w:cs="方正小标宋简体"/>
          <w:b w:val="0"/>
          <w:bCs w:val="0"/>
          <w:color w:val="000000"/>
          <w:kern w:val="0"/>
          <w:sz w:val="44"/>
          <w:szCs w:val="44"/>
        </w:rPr>
        <w:t>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val="0"/>
          <w:color w:val="000000"/>
          <w:kern w:val="0"/>
          <w:sz w:val="21"/>
          <w:szCs w:val="21"/>
        </w:rPr>
      </w:pPr>
    </w:p>
    <w:p>
      <w:pPr>
        <w:widowControl/>
        <w:shd w:val="clear" w:color="auto" w:fill="FFFFFF"/>
        <w:ind w:firstLine="480"/>
        <w:rPr>
          <w:rFonts w:hint="eastAsia" w:ascii="仿宋_GB2312" w:hAnsi="仿宋_GB2312" w:eastAsia="仿宋_GB2312" w:cs="仿宋_GB2312"/>
          <w:color w:val="000000"/>
          <w:kern w:val="0"/>
          <w:sz w:val="28"/>
          <w:szCs w:val="28"/>
          <w:lang w:val="en-US" w:eastAsia="zh-CN"/>
        </w:rPr>
      </w:pPr>
      <w:r>
        <w:rPr>
          <w:rFonts w:hint="eastAsia" w:ascii="黑体" w:hAnsi="黑体" w:eastAsia="黑体" w:cs="黑体"/>
          <w:b w:val="0"/>
          <w:bCs w:val="0"/>
          <w:color w:val="000000"/>
          <w:kern w:val="0"/>
          <w:sz w:val="32"/>
          <w:szCs w:val="32"/>
        </w:rPr>
        <w:t>一、总体情况</w:t>
      </w:r>
    </w:p>
    <w:p>
      <w:pPr>
        <w:widowControl/>
        <w:shd w:val="clear" w:color="auto" w:fill="FFFFFF"/>
        <w:ind w:firstLine="48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区科技局党组高度重视政府信息公开相关工作，指派专人负责，严格贯彻落实《中华人民共和国政府信息公开条例》和区政府有关信息公开的政策法规。2024年，全局按照国家、市、区工作要求扎实推进政府信息公开工作，及时更新科技局领导信息，圆满完成各项目标工作。健全信息公开工作机制，严格落实政务公开审签制度，每月19日前及时在政务公开平台上发布信息，按照要求编制并发布《宝坻区科技局政府信息公开工作2024年度报告》。2024年，区科技局未收到政府信息公开申请，且不存在政府信息公开工作被申请行政复议、提起行政诉讼等情况。</w:t>
      </w:r>
    </w:p>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二、主动公开政府信息情况</w:t>
      </w:r>
    </w:p>
    <w:p>
      <w:pPr>
        <w:widowControl/>
        <w:shd w:val="clear" w:color="auto" w:fill="FFFFFF"/>
        <w:ind w:firstLine="480"/>
        <w:rPr>
          <w:rFonts w:hint="eastAsia" w:ascii="宋体" w:hAnsi="宋体" w:eastAsia="宋体" w:cs="宋体"/>
          <w:color w:val="000000"/>
          <w:kern w:val="0"/>
          <w:sz w:val="24"/>
          <w:szCs w:val="24"/>
        </w:rPr>
      </w:pPr>
    </w:p>
    <w:tbl>
      <w:tblPr>
        <w:tblStyle w:val="3"/>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w:t>
            </w:r>
            <w:r>
              <w:rPr>
                <w:rFonts w:ascii="宋体" w:hAnsi="宋体" w:eastAsia="宋体" w:cs="宋体"/>
                <w:color w:val="000000"/>
                <w:kern w:val="0"/>
                <w:sz w:val="28"/>
                <w:szCs w:val="28"/>
              </w:rPr>
              <w:t>制</w:t>
            </w:r>
            <w:r>
              <w:rPr>
                <w:rFonts w:hint="eastAsia" w:ascii="宋体" w:hAnsi="宋体" w:eastAsia="宋体" w:cs="宋体"/>
                <w:color w:val="000000"/>
                <w:kern w:val="0"/>
                <w:sz w:val="28"/>
                <w:szCs w:val="28"/>
              </w:rPr>
              <w:t>发件</w:t>
            </w:r>
            <w:r>
              <w:rPr>
                <w:rFonts w:ascii="宋体" w:hAnsi="宋体" w:eastAsia="宋体" w:cs="宋体"/>
                <w:color w:val="000000"/>
                <w:kern w:val="0"/>
                <w:sz w:val="28"/>
                <w:szCs w:val="28"/>
              </w:rPr>
              <w:t>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本年废止件数</w:t>
            </w:r>
          </w:p>
        </w:tc>
        <w:tc>
          <w:tcPr>
            <w:tcW w:w="2435"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现行有效件</w:t>
            </w:r>
            <w:r>
              <w:rPr>
                <w:rFonts w:ascii="宋体" w:hAnsi="宋体" w:eastAsia="宋体" w:cs="宋体"/>
                <w:color w:val="000000"/>
                <w:kern w:val="0"/>
                <w:sz w:val="28"/>
                <w:szCs w:val="28"/>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规章</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行政规范性文件</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c>
          <w:tcPr>
            <w:tcW w:w="2435"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行政许可</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行政处罚</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行政强制</w:t>
            </w:r>
          </w:p>
        </w:tc>
        <w:tc>
          <w:tcPr>
            <w:tcW w:w="7305" w:type="dxa"/>
            <w:gridSpan w:val="3"/>
            <w:tcBorders>
              <w:top w:val="nil"/>
              <w:left w:val="nil"/>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信息内容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行政事业性收费</w:t>
            </w:r>
          </w:p>
        </w:tc>
        <w:tc>
          <w:tcPr>
            <w:tcW w:w="7305" w:type="dxa"/>
            <w:gridSpan w:val="3"/>
            <w:tcBorders>
              <w:top w:val="nil"/>
              <w:left w:val="nil"/>
              <w:bottom w:val="single" w:color="auto" w:sz="8" w:space="0"/>
              <w:right w:val="single" w:color="000000" w:sz="8" w:space="0"/>
            </w:tcBorders>
            <w:noWrap w:val="0"/>
            <w:tcMar>
              <w:top w:w="0" w:type="dxa"/>
              <w:left w:w="57" w:type="dxa"/>
              <w:bottom w:w="0" w:type="dxa"/>
              <w:right w:w="57" w:type="dxa"/>
            </w:tcMar>
            <w:vAlign w:val="center"/>
          </w:tcPr>
          <w:p>
            <w:pPr>
              <w:widowControl/>
              <w:jc w:val="center"/>
              <w:rPr>
                <w:rFonts w:hint="eastAsia"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0</w:t>
            </w:r>
          </w:p>
        </w:tc>
      </w:tr>
    </w:tbl>
    <w:p>
      <w:pPr>
        <w:widowControl/>
        <w:shd w:val="clear" w:color="auto" w:fill="FFFFFF"/>
        <w:ind w:firstLine="480"/>
        <w:rPr>
          <w:rFonts w:hint="eastAsia" w:ascii="黑体" w:hAnsi="黑体" w:eastAsia="黑体" w:cs="黑体"/>
          <w:b w:val="0"/>
          <w:bCs w:val="0"/>
          <w:color w:val="000000"/>
          <w:kern w:val="0"/>
          <w:sz w:val="32"/>
          <w:szCs w:val="32"/>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三、收到和处理政府信息公开申请情况</w:t>
      </w:r>
    </w:p>
    <w:p>
      <w:pPr>
        <w:widowControl/>
        <w:shd w:val="clear" w:color="auto" w:fill="FFFFFF"/>
        <w:ind w:firstLine="480"/>
        <w:rPr>
          <w:rFonts w:hint="eastAsia" w:ascii="黑体" w:hAnsi="黑体" w:eastAsia="黑体" w:cs="黑体"/>
          <w:b w:val="0"/>
          <w:bCs w:val="0"/>
          <w:color w:val="000000"/>
          <w:kern w:val="0"/>
          <w:sz w:val="32"/>
          <w:szCs w:val="32"/>
        </w:rPr>
      </w:pP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楷体" w:hAnsi="楷体" w:eastAsia="楷体" w:cs="宋体"/>
                <w:color w:val="000000"/>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688" w:type="dxa"/>
            <w:vMerge w:val="restart"/>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1157" w:hRule="atLeast"/>
          <w:jc w:val="center"/>
        </w:trPr>
        <w:tc>
          <w:tcPr>
            <w:tcW w:w="0" w:type="auto"/>
            <w:gridSpan w:val="3"/>
            <w:vMerge w:val="continue"/>
            <w:tcBorders>
              <w:top w:val="single" w:color="auto" w:sz="8" w:space="0"/>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商业</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企业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科研</w:t>
            </w:r>
          </w:p>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其他</w:t>
            </w:r>
          </w:p>
        </w:tc>
        <w:tc>
          <w:tcPr>
            <w:tcW w:w="0" w:type="auto"/>
            <w:vMerge w:val="continue"/>
            <w:tcBorders>
              <w:top w:val="single" w:color="auto" w:sz="8" w:space="0"/>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宋体" w:hAnsi="宋体" w:eastAsia="宋体" w:cs="宋体"/>
                <w:color w:val="000000"/>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三、本年度办理结果</w:t>
            </w: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（一）予以公开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（二）部分公开</w:t>
            </w:r>
            <w:r>
              <w:rPr>
                <w:rFonts w:hint="eastAsia" w:ascii="楷体" w:hAnsi="楷体" w:eastAsia="楷体" w:cs="宋体"/>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236"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（三）不予公开</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1.属于国家秘密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2.其他法律行政法规禁止公开</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3.危及“三安全一稳定”</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4.保护第三方合法权益</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5.属于三类内部事务信息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6.属于四类过程性信息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7.属于行政执法案卷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8.属于行政查询事项</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（四）无法提供</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1.本机关不掌握相关政府信息</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2.没有现成信息需要另行制作</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3.补正后申请内容仍不明确</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943" w:type="dxa"/>
            <w:vMerge w:val="restart"/>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（五）不予处理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1.信访举报投诉类申请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3.要求提供公开出版物</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4.无正当理由大量反复申请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trHeight w:val="721" w:hRule="atLeast"/>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nil"/>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5.要求行政机关确认或重新出具已获取信息</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943" w:type="dxa"/>
            <w:vMerge w:val="restart"/>
            <w:tcBorders>
              <w:top w:val="inset" w:color="auto" w:sz="8" w:space="0"/>
              <w:left w:val="nil"/>
              <w:bottom w:val="inset"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（六）其他处理</w:t>
            </w: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0" w:type="auto"/>
            <w:vMerge w:val="continue"/>
            <w:tcBorders>
              <w:top w:val="inset" w:color="auto" w:sz="8" w:space="0"/>
              <w:left w:val="nil"/>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3220"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3.其他</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p>
        </w:tc>
        <w:tc>
          <w:tcPr>
            <w:tcW w:w="4163" w:type="dxa"/>
            <w:gridSpan w:val="2"/>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（七）总计</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0"/>
                <w:szCs w:val="20"/>
              </w:rPr>
              <w:t>四、结转下年度继续办理</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8" w:type="dxa"/>
            <w:tcBorders>
              <w:top w:val="nil"/>
              <w:left w:val="nil"/>
              <w:bottom w:val="single" w:color="auto" w:sz="8" w:space="0"/>
              <w:right w:val="single" w:color="auto" w:sz="8" w:space="0"/>
            </w:tcBorders>
            <w:noWrap w:val="0"/>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c>
          <w:tcPr>
            <w:tcW w:w="689" w:type="dxa"/>
            <w:tcBorders>
              <w:top w:val="nil"/>
              <w:left w:val="nil"/>
              <w:bottom w:val="single" w:color="auto" w:sz="8" w:space="0"/>
              <w:right w:val="single" w:color="auto" w:sz="8" w:space="0"/>
            </w:tcBorders>
            <w:noWrap w:val="0"/>
            <w:tcMar>
              <w:top w:w="0" w:type="dxa"/>
              <w:left w:w="57" w:type="dxa"/>
              <w:bottom w:w="0" w:type="dxa"/>
              <w:right w:w="57" w:type="dxa"/>
            </w:tcMar>
            <w:vAlign w:val="top"/>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eastAsia="宋体" w:cs="宋体"/>
                <w:color w:val="000000"/>
                <w:kern w:val="0"/>
                <w:sz w:val="24"/>
                <w:szCs w:val="24"/>
              </w:rPr>
            </w:pPr>
            <w:r>
              <w:rPr>
                <w:rFonts w:hint="eastAsia" w:ascii="Calibri" w:hAnsi="Calibri" w:cs="宋体"/>
                <w:color w:val="000000"/>
                <w:kern w:val="0"/>
                <w:sz w:val="20"/>
                <w:szCs w:val="20"/>
                <w:lang w:val="en-US" w:eastAsia="zh-CN"/>
              </w:rPr>
              <w:t>0</w:t>
            </w:r>
          </w:p>
        </w:tc>
      </w:tr>
    </w:tbl>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四、政府信息公开行政复议、行政诉讼情况</w:t>
      </w:r>
    </w:p>
    <w:p>
      <w:pPr>
        <w:widowControl/>
        <w:shd w:val="clear" w:color="auto" w:fill="FFFFFF"/>
        <w:jc w:val="center"/>
        <w:rPr>
          <w:rFonts w:hint="eastAsia" w:ascii="宋体" w:hAnsi="宋体" w:eastAsia="宋体" w:cs="宋体"/>
          <w:color w:val="000000"/>
          <w:kern w:val="0"/>
          <w:sz w:val="24"/>
          <w:szCs w:val="24"/>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结果维持</w:t>
            </w:r>
          </w:p>
        </w:tc>
        <w:tc>
          <w:tcPr>
            <w:tcW w:w="649"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eastAsia="宋体" w:cs="宋体"/>
                <w:color w:val="000000"/>
                <w:kern w:val="0"/>
                <w:sz w:val="21"/>
                <w:szCs w:val="21"/>
              </w:rPr>
            </w:pP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维持</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结果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纠正</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其他</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结果</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尚未</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审结</w:t>
            </w:r>
          </w:p>
        </w:tc>
        <w:tc>
          <w:tcPr>
            <w:tcW w:w="651"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4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eastAsia="宋体" w:cs="宋体"/>
                <w:color w:val="000000"/>
                <w:kern w:val="0"/>
                <w:sz w:val="21"/>
                <w:szCs w:val="21"/>
              </w:rPr>
            </w:pPr>
            <w:r>
              <w:rPr>
                <w:rFonts w:hint="eastAsia" w:ascii="宋体" w:hAnsi="宋体" w:cs="宋体"/>
                <w:color w:val="000000"/>
                <w:kern w:val="0"/>
                <w:sz w:val="21"/>
                <w:szCs w:val="21"/>
                <w:lang w:val="en-US" w:eastAsia="zh-CN"/>
              </w:rPr>
              <w:t>0</w:t>
            </w:r>
          </w:p>
        </w:tc>
        <w:tc>
          <w:tcPr>
            <w:tcW w:w="65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r>
    </w:tbl>
    <w:p>
      <w:pPr>
        <w:widowControl/>
        <w:jc w:val="left"/>
        <w:rPr>
          <w:rFonts w:hint="eastAsia" w:ascii="宋体" w:hAnsi="宋体" w:eastAsia="宋体" w:cs="宋体"/>
          <w:color w:val="000000"/>
          <w:kern w:val="0"/>
          <w:sz w:val="24"/>
          <w:szCs w:val="24"/>
        </w:rPr>
      </w:pP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五、存在的主要问题及改进情况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lang w:eastAsia="zh-CN"/>
        </w:rPr>
        <w:t>年，我</w:t>
      </w:r>
      <w:r>
        <w:rPr>
          <w:rFonts w:hint="eastAsia" w:ascii="仿宋_GB2312" w:hAnsi="仿宋_GB2312" w:eastAsia="仿宋_GB2312" w:cs="仿宋_GB2312"/>
          <w:color w:val="000000"/>
          <w:kern w:val="0"/>
          <w:sz w:val="32"/>
          <w:szCs w:val="32"/>
          <w:lang w:val="en-US" w:eastAsia="zh-CN"/>
        </w:rPr>
        <w:t>局严格遵守《中华人民共和国政府信息公开条例》</w:t>
      </w:r>
      <w:r>
        <w:rPr>
          <w:rFonts w:hint="eastAsia" w:ascii="仿宋_GB2312" w:hAnsi="仿宋_GB2312" w:eastAsia="仿宋_GB2312" w:cs="仿宋_GB2312"/>
          <w:color w:val="000000"/>
          <w:kern w:val="0"/>
          <w:sz w:val="32"/>
          <w:szCs w:val="32"/>
          <w:lang w:eastAsia="zh-CN"/>
        </w:rPr>
        <w:t>，结合工作实际，按要求主动公开各类政务信息，虽然取得了一定成效，但还存在一些问题。</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一是</w:t>
      </w:r>
      <w:r>
        <w:rPr>
          <w:rFonts w:hint="eastAsia" w:ascii="仿宋_GB2312" w:hAnsi="仿宋_GB2312" w:eastAsia="仿宋_GB2312" w:cs="仿宋_GB2312"/>
          <w:color w:val="000000"/>
          <w:kern w:val="0"/>
          <w:sz w:val="32"/>
          <w:szCs w:val="32"/>
          <w:lang w:eastAsia="zh-CN"/>
        </w:rPr>
        <w:t>信息更新及时性需进一步提升，</w:t>
      </w:r>
      <w:r>
        <w:rPr>
          <w:rFonts w:hint="eastAsia" w:ascii="仿宋_GB2312" w:hAnsi="仿宋_GB2312" w:eastAsia="仿宋_GB2312" w:cs="仿宋_GB2312"/>
          <w:color w:val="000000"/>
          <w:kern w:val="0"/>
          <w:sz w:val="32"/>
          <w:szCs w:val="32"/>
          <w:lang w:val="en-US" w:eastAsia="zh-CN"/>
        </w:rPr>
        <w:t>个别</w:t>
      </w:r>
      <w:r>
        <w:rPr>
          <w:rFonts w:hint="eastAsia" w:ascii="仿宋_GB2312" w:hAnsi="仿宋_GB2312" w:eastAsia="仿宋_GB2312" w:cs="仿宋_GB2312"/>
          <w:color w:val="000000"/>
          <w:kern w:val="0"/>
          <w:sz w:val="32"/>
          <w:szCs w:val="32"/>
          <w:lang w:eastAsia="zh-CN"/>
        </w:rPr>
        <w:t>重要政策或公告的发布存在滞后现象。</w:t>
      </w:r>
      <w:r>
        <w:rPr>
          <w:rFonts w:hint="eastAsia" w:ascii="仿宋_GB2312" w:hAnsi="仿宋_GB2312" w:eastAsia="仿宋_GB2312" w:cs="仿宋_GB2312"/>
          <w:color w:val="000000"/>
          <w:kern w:val="0"/>
          <w:sz w:val="32"/>
          <w:szCs w:val="32"/>
          <w:lang w:val="en-US" w:eastAsia="zh-CN"/>
        </w:rPr>
        <w:t>二是</w:t>
      </w:r>
      <w:r>
        <w:rPr>
          <w:rFonts w:hint="eastAsia" w:ascii="仿宋_GB2312" w:hAnsi="仿宋_GB2312" w:eastAsia="仿宋_GB2312" w:cs="仿宋_GB2312"/>
          <w:color w:val="000000"/>
          <w:kern w:val="0"/>
          <w:sz w:val="32"/>
          <w:szCs w:val="32"/>
          <w:lang w:eastAsia="zh-CN"/>
        </w:rPr>
        <w:t>政务公开内容的深度和广度有待提升当前政务公开的内容大多停留在事后公示层面，缺乏对政策解读、行政决策等更具针对性的公开信息。</w:t>
      </w:r>
      <w:r>
        <w:rPr>
          <w:rFonts w:hint="eastAsia" w:ascii="仿宋_GB2312" w:hAnsi="仿宋_GB2312" w:eastAsia="仿宋_GB2312" w:cs="仿宋_GB2312"/>
          <w:color w:val="000000"/>
          <w:kern w:val="0"/>
          <w:sz w:val="32"/>
          <w:szCs w:val="32"/>
          <w:lang w:val="en-US" w:eastAsia="zh-CN"/>
        </w:rPr>
        <w:t>三是</w:t>
      </w:r>
      <w:r>
        <w:rPr>
          <w:rFonts w:hint="eastAsia" w:ascii="仿宋_GB2312" w:hAnsi="仿宋_GB2312" w:eastAsia="仿宋_GB2312" w:cs="仿宋_GB2312"/>
          <w:color w:val="000000"/>
          <w:kern w:val="0"/>
          <w:sz w:val="32"/>
          <w:szCs w:val="32"/>
          <w:lang w:eastAsia="zh-CN"/>
        </w:rPr>
        <w:t>政务公开机制的监督和管理不够严密，在政务公开工作的监督和管理方面，仍存在一些漏洞和不足之处。</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改进情况：</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一是建立健全信息更新机制。明确信息更新的责任部门和责任人，加强对信息</w:t>
      </w:r>
      <w:r>
        <w:rPr>
          <w:rFonts w:hint="eastAsia" w:ascii="仿宋_GB2312" w:hAnsi="仿宋_GB2312" w:eastAsia="仿宋_GB2312" w:cs="仿宋_GB2312"/>
          <w:color w:val="000000"/>
          <w:kern w:val="0"/>
          <w:sz w:val="32"/>
          <w:szCs w:val="32"/>
          <w:lang w:val="en-US" w:eastAsia="zh-CN"/>
        </w:rPr>
        <w:t>的</w:t>
      </w:r>
      <w:r>
        <w:rPr>
          <w:rFonts w:hint="eastAsia" w:ascii="仿宋_GB2312" w:hAnsi="仿宋_GB2312" w:eastAsia="仿宋_GB2312" w:cs="仿宋_GB2312"/>
          <w:color w:val="000000"/>
          <w:kern w:val="0"/>
          <w:sz w:val="32"/>
          <w:szCs w:val="32"/>
          <w:lang w:eastAsia="zh-CN"/>
        </w:rPr>
        <w:t>更新</w:t>
      </w:r>
      <w:r>
        <w:rPr>
          <w:rFonts w:hint="eastAsia" w:ascii="仿宋_GB2312" w:hAnsi="仿宋_GB2312" w:eastAsia="仿宋_GB2312" w:cs="仿宋_GB2312"/>
          <w:color w:val="000000"/>
          <w:kern w:val="0"/>
          <w:sz w:val="32"/>
          <w:szCs w:val="32"/>
          <w:lang w:val="en-US" w:eastAsia="zh-CN"/>
        </w:rPr>
        <w:t>和公布</w:t>
      </w:r>
      <w:r>
        <w:rPr>
          <w:rFonts w:hint="eastAsia" w:ascii="仿宋_GB2312" w:hAnsi="仿宋_GB2312" w:eastAsia="仿宋_GB2312" w:cs="仿宋_GB2312"/>
          <w:color w:val="000000"/>
          <w:kern w:val="0"/>
          <w:sz w:val="32"/>
          <w:szCs w:val="32"/>
          <w:lang w:eastAsia="zh-CN"/>
        </w:rPr>
        <w:t>，确保信息更新的及时性和准确性，加强信息审核流程，确保发布信息</w:t>
      </w:r>
      <w:r>
        <w:rPr>
          <w:rFonts w:hint="eastAsia" w:ascii="仿宋_GB2312" w:hAnsi="仿宋_GB2312" w:eastAsia="仿宋_GB2312" w:cs="仿宋_GB2312"/>
          <w:color w:val="000000"/>
          <w:kern w:val="0"/>
          <w:sz w:val="32"/>
          <w:szCs w:val="32"/>
          <w:lang w:val="en-US" w:eastAsia="zh-CN"/>
        </w:rPr>
        <w:t>直达快享</w:t>
      </w:r>
      <w:r>
        <w:rPr>
          <w:rFonts w:hint="eastAsia" w:ascii="仿宋_GB2312" w:hAnsi="仿宋_GB2312" w:eastAsia="仿宋_GB2312" w:cs="仿宋_GB2312"/>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二是</w:t>
      </w:r>
      <w:r>
        <w:rPr>
          <w:rFonts w:hint="eastAsia" w:ascii="仿宋_GB2312" w:hAnsi="仿宋_GB2312" w:eastAsia="仿宋_GB2312" w:cs="仿宋_GB2312"/>
          <w:color w:val="000000"/>
          <w:kern w:val="0"/>
          <w:sz w:val="32"/>
          <w:szCs w:val="32"/>
          <w:lang w:eastAsia="zh-CN"/>
        </w:rPr>
        <w:t>丰富政务公开内容，提高信息质量。加强对政策解读、行政决策等信息的公开。通过制定详细的公开计划，明确公开的内容和形式。</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三是</w:t>
      </w:r>
      <w:r>
        <w:rPr>
          <w:rFonts w:hint="eastAsia" w:ascii="仿宋_GB2312" w:hAnsi="仿宋_GB2312" w:eastAsia="仿宋_GB2312" w:cs="仿宋_GB2312"/>
          <w:color w:val="000000"/>
          <w:kern w:val="0"/>
          <w:sz w:val="32"/>
          <w:szCs w:val="32"/>
          <w:lang w:eastAsia="zh-CN"/>
        </w:rPr>
        <w:t>强化政务公开的监督和管理机制。</w:t>
      </w:r>
    </w:p>
    <w:p>
      <w:pPr>
        <w:keepNext w:val="0"/>
        <w:keepLines w:val="0"/>
        <w:pageBreakBefore w:val="0"/>
        <w:widowControl/>
        <w:shd w:val="clear" w:color="auto" w:fill="FFFFFF"/>
        <w:kinsoku/>
        <w:wordWrap/>
        <w:overflowPunct/>
        <w:topLinePunct w:val="0"/>
        <w:autoSpaceDE/>
        <w:autoSpaceDN/>
        <w:bidi w:val="0"/>
        <w:adjustRightInd/>
        <w:snapToGrid/>
        <w:ind w:firstLine="482"/>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通过加强对各部门</w:t>
      </w:r>
      <w:r>
        <w:rPr>
          <w:rFonts w:hint="eastAsia" w:ascii="仿宋_GB2312" w:hAnsi="仿宋_GB2312" w:eastAsia="仿宋_GB2312" w:cs="仿宋_GB2312"/>
          <w:color w:val="000000"/>
          <w:kern w:val="0"/>
          <w:sz w:val="32"/>
          <w:szCs w:val="32"/>
          <w:lang w:val="en-US" w:eastAsia="zh-CN"/>
        </w:rPr>
        <w:t>上报的</w:t>
      </w:r>
      <w:r>
        <w:rPr>
          <w:rFonts w:hint="eastAsia" w:ascii="仿宋_GB2312" w:hAnsi="仿宋_GB2312" w:eastAsia="仿宋_GB2312" w:cs="仿宋_GB2312"/>
          <w:color w:val="000000"/>
          <w:kern w:val="0"/>
          <w:sz w:val="32"/>
          <w:szCs w:val="32"/>
          <w:lang w:eastAsia="zh-CN"/>
        </w:rPr>
        <w:t>政务公开</w:t>
      </w:r>
      <w:r>
        <w:rPr>
          <w:rFonts w:hint="eastAsia" w:ascii="仿宋_GB2312" w:hAnsi="仿宋_GB2312" w:eastAsia="仿宋_GB2312" w:cs="仿宋_GB2312"/>
          <w:color w:val="000000"/>
          <w:kern w:val="0"/>
          <w:sz w:val="32"/>
          <w:szCs w:val="32"/>
          <w:lang w:val="en-US" w:eastAsia="zh-CN"/>
        </w:rPr>
        <w:t>内容，定期进行</w:t>
      </w:r>
      <w:r>
        <w:rPr>
          <w:rFonts w:hint="eastAsia" w:ascii="仿宋_GB2312" w:hAnsi="仿宋_GB2312" w:eastAsia="仿宋_GB2312" w:cs="仿宋_GB2312"/>
          <w:color w:val="000000"/>
          <w:kern w:val="0"/>
          <w:sz w:val="32"/>
          <w:szCs w:val="32"/>
          <w:lang w:eastAsia="zh-CN"/>
        </w:rPr>
        <w:t>监督和检查，确保信息公开工作按时、按要求进行。</w:t>
      </w:r>
    </w:p>
    <w:p>
      <w:pPr>
        <w:widowControl/>
        <w:shd w:val="clear" w:color="auto" w:fill="FFFFFF"/>
        <w:ind w:firstLine="480"/>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六、其他需要报告的事项</w:t>
      </w:r>
    </w:p>
    <w:p>
      <w:pPr>
        <w:widowControl/>
        <w:shd w:val="clear" w:color="auto" w:fill="FFFFFF"/>
        <w:ind w:firstLine="480"/>
        <w:jc w:val="left"/>
        <w:rPr>
          <w:sz w:val="32"/>
          <w:szCs w:val="32"/>
        </w:rPr>
      </w:pPr>
      <w:r>
        <w:rPr>
          <w:rFonts w:hint="eastAsia" w:ascii="仿宋_GB2312" w:hAnsi="仿宋_GB2312" w:eastAsia="仿宋_GB2312" w:cs="仿宋_GB2312"/>
          <w:color w:val="000000"/>
          <w:kern w:val="0"/>
          <w:sz w:val="32"/>
          <w:szCs w:val="32"/>
          <w:lang w:eastAsia="zh-CN"/>
        </w:rPr>
        <w:t>全年开具信息处理费缴费通知书0份，实际缴费0份，收缴信息处理费0元。</w:t>
      </w:r>
      <w:bookmarkStart w:id="0" w:name="_GoBack"/>
      <w:bookmarkEnd w:id="0"/>
    </w:p>
    <w:sectPr>
      <w:pgSz w:w="11906" w:h="16838"/>
      <w:pgMar w:top="1701" w:right="1559" w:bottom="1701" w:left="1559" w:header="851" w:footer="992" w:gutter="0"/>
      <w:cols w:space="720" w:num="1"/>
      <w:rtlGutter w:val="0"/>
      <w:docGrid w:type="lines" w:linePitch="4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 w:name="KSO_WPS_MARK_KEY" w:val="8120ff36-34d5-4d1a-9c2e-eba9d3391ea1"/>
  </w:docVars>
  <w:rsids>
    <w:rsidRoot w:val="5BAFAE8D"/>
    <w:rsid w:val="04656234"/>
    <w:rsid w:val="08E53E35"/>
    <w:rsid w:val="34C376AF"/>
    <w:rsid w:val="36CB5308"/>
    <w:rsid w:val="45D13624"/>
    <w:rsid w:val="572D15DC"/>
    <w:rsid w:val="5BAFAE8D"/>
    <w:rsid w:val="61D92A3E"/>
    <w:rsid w:val="653045D3"/>
    <w:rsid w:val="6D3BB430"/>
    <w:rsid w:val="71D685CC"/>
    <w:rsid w:val="75FFEDFA"/>
    <w:rsid w:val="7CACF124"/>
    <w:rsid w:val="7DFB7BE6"/>
    <w:rsid w:val="7DFF7CF4"/>
    <w:rsid w:val="DBFFC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1599</Words>
  <Characters>1631</Characters>
  <Lines>0</Lines>
  <Paragraphs>0</Paragraphs>
  <TotalTime>36</TotalTime>
  <ScaleCrop>false</ScaleCrop>
  <LinksUpToDate>false</LinksUpToDate>
  <CharactersWithSpaces>1631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2022-02-08T00:25:00Z</dcterms:created>
  <dc:creator>kylin</dc:creator>
  <cp:lastModifiedBy>你支哥</cp:lastModifiedBy>
  <dcterms:modified xsi:type="dcterms:W3CDTF">2025-01-22T01:49:40Z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9CF56705236D4A07BC7FFB208AB87722</vt:lpwstr>
  </property>
</Properties>
</file>