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30"/>
          <w:szCs w:val="30"/>
        </w:rPr>
      </w:pPr>
      <w:r>
        <w:rPr>
          <w:rFonts w:ascii="宋体" w:hAnsi="宋体"/>
          <w:b/>
          <w:bCs/>
          <w:color w:val="FF0000"/>
          <w:spacing w:val="-6"/>
          <w:w w:val="80"/>
          <w:sz w:val="84"/>
          <w:szCs w:val="84"/>
        </w:rPr>
        <w:pict>
          <v:shape id="_x0000_s1030" o:spid="_x0000_s1030" o:spt="32" type="#_x0000_t32" style="position:absolute;left:0pt;margin-left:2.3pt;margin-top:64.65pt;height:0pt;width:441.75pt;z-index:251659264;mso-width-relative:page;mso-height-relative:page;" o:connectortype="straight" filled="f" stroked="t" coordsize="21600,21600">
            <v:path arrowok="t"/>
            <v:fill on="f" focussize="0,0"/>
            <v:stroke weight="2.25pt" color="#FF0000"/>
            <v:imagedata o:title=""/>
            <o:lock v:ext="edit"/>
          </v:shape>
        </w:pict>
      </w:r>
      <w:r>
        <w:rPr>
          <w:rFonts w:hint="eastAsia" w:ascii="宋体" w:hAnsi="宋体"/>
          <w:b/>
          <w:bCs/>
          <w:color w:val="FF0000"/>
          <w:spacing w:val="-6"/>
          <w:w w:val="80"/>
          <w:sz w:val="84"/>
          <w:szCs w:val="84"/>
        </w:rPr>
        <w:t>天津市宝坻区工业和信息化局</w:t>
      </w:r>
    </w:p>
    <w:p>
      <w:pPr>
        <w:spacing w:line="640" w:lineRule="exact"/>
        <w:jc w:val="center"/>
        <w:rPr>
          <w:rFonts w:ascii="方正小标宋简体" w:hAnsi="宋体" w:eastAsia="方正小标宋简体"/>
          <w:bCs/>
          <w:szCs w:val="21"/>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1"/>
          <w:rFonts w:hint="eastAsia" w:ascii="方正小标宋简体" w:eastAsia="方正小标宋简体"/>
          <w:b w:val="0"/>
          <w:color w:val="333333"/>
          <w:sz w:val="44"/>
          <w:szCs w:val="44"/>
          <w:lang w:val="en-US" w:eastAsia="zh-CN"/>
        </w:rPr>
      </w:pPr>
      <w:r>
        <w:rPr>
          <w:rStyle w:val="11"/>
          <w:rFonts w:hint="eastAsia" w:ascii="方正小标宋简体" w:eastAsia="方正小标宋简体"/>
          <w:b w:val="0"/>
          <w:color w:val="333333"/>
          <w:sz w:val="44"/>
          <w:szCs w:val="44"/>
        </w:rPr>
        <w:t>关于</w:t>
      </w:r>
      <w:r>
        <w:rPr>
          <w:rStyle w:val="11"/>
          <w:rFonts w:hint="eastAsia" w:ascii="方正小标宋简体" w:eastAsia="方正小标宋简体"/>
          <w:b w:val="0"/>
          <w:color w:val="333333"/>
          <w:sz w:val="44"/>
          <w:szCs w:val="44"/>
          <w:lang w:eastAsia="zh-CN"/>
        </w:rPr>
        <w:t>组织</w:t>
      </w:r>
      <w:r>
        <w:rPr>
          <w:rStyle w:val="11"/>
          <w:rFonts w:hint="eastAsia" w:ascii="方正小标宋简体" w:eastAsia="方正小标宋简体"/>
          <w:b w:val="0"/>
          <w:color w:val="333333"/>
          <w:sz w:val="44"/>
          <w:szCs w:val="44"/>
          <w:lang w:val="en-US" w:eastAsia="zh-CN"/>
        </w:rPr>
        <w:t>2023-2024年度中小企业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11"/>
          <w:rFonts w:ascii="方正小标宋简体" w:eastAsia="方正小标宋简体"/>
          <w:b w:val="0"/>
          <w:color w:val="333333"/>
          <w:sz w:val="44"/>
          <w:szCs w:val="44"/>
        </w:rPr>
      </w:pPr>
      <w:r>
        <w:rPr>
          <w:rStyle w:val="11"/>
          <w:rFonts w:hint="eastAsia" w:ascii="方正小标宋简体" w:eastAsia="方正小标宋简体"/>
          <w:b w:val="0"/>
          <w:color w:val="333333"/>
          <w:sz w:val="44"/>
          <w:szCs w:val="44"/>
          <w:lang w:val="en-US" w:eastAsia="zh-CN"/>
        </w:rPr>
        <w:t>经营管理领军人才培训的</w:t>
      </w:r>
      <w:r>
        <w:rPr>
          <w:rStyle w:val="11"/>
          <w:rFonts w:hint="eastAsia" w:ascii="方正小标宋简体" w:eastAsia="方正小标宋简体"/>
          <w:b w:val="0"/>
          <w:color w:val="333333"/>
          <w:sz w:val="44"/>
          <w:szCs w:val="44"/>
        </w:rPr>
        <w:t>通知</w:t>
      </w:r>
    </w:p>
    <w:p>
      <w:pPr>
        <w:pStyle w:val="7"/>
        <w:shd w:val="clear" w:color="auto" w:fill="FFFFFF"/>
        <w:spacing w:before="0" w:beforeAutospacing="0" w:after="0" w:afterAutospacing="0" w:line="240" w:lineRule="auto"/>
        <w:rPr>
          <w:rStyle w:val="11"/>
          <w:rFonts w:ascii="方正仿宋简体" w:eastAsia="方正仿宋简体"/>
          <w:b w:val="0"/>
          <w:color w:val="333333"/>
          <w:sz w:val="18"/>
          <w:szCs w:val="18"/>
        </w:rPr>
      </w:pPr>
    </w:p>
    <w:p>
      <w:pPr>
        <w:pStyle w:val="1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Style w:val="11"/>
          <w:rFonts w:hint="eastAsia" w:ascii="方正仿宋简体" w:eastAsia="方正仿宋简体" w:hAnsiTheme="minorHAnsi" w:cstheme="minorBidi"/>
          <w:b w:val="0"/>
          <w:color w:val="333333"/>
          <w:kern w:val="0"/>
          <w:sz w:val="32"/>
          <w:szCs w:val="32"/>
          <w:lang w:val="en-US" w:eastAsia="zh-CN" w:bidi="ar-SA"/>
        </w:rPr>
      </w:pPr>
      <w:r>
        <w:rPr>
          <w:rStyle w:val="11"/>
          <w:rFonts w:hint="eastAsia" w:ascii="方正仿宋简体" w:eastAsia="方正仿宋简体" w:hAnsiTheme="minorHAnsi" w:cstheme="minorBidi"/>
          <w:b w:val="0"/>
          <w:color w:val="333333"/>
          <w:kern w:val="0"/>
          <w:sz w:val="32"/>
          <w:szCs w:val="32"/>
          <w:lang w:val="en-US" w:eastAsia="zh-CN" w:bidi="ar-SA"/>
        </w:rPr>
        <w:t>各街镇、宝坻经济开发区、中关村科技城管委会：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eastAsia="zh-CN"/>
        </w:rPr>
        <w:t>为深入实施企业经营管理人才素质提升工程，提高中小企业经营管理水平，推动中小企业高质量发展，市工业和信息化局组织开展</w:t>
      </w:r>
      <w:r>
        <w:rPr>
          <w:rStyle w:val="11"/>
          <w:rFonts w:hint="eastAsia" w:ascii="方正仿宋简体" w:eastAsia="方正仿宋简体"/>
          <w:b w:val="0"/>
          <w:color w:val="333333"/>
          <w:sz w:val="32"/>
          <w:szCs w:val="32"/>
          <w:lang w:val="en-US" w:eastAsia="zh-CN"/>
        </w:rPr>
        <w:t>2023-2024年度中小企业经营管理人才培训，现将具体要求通知如下：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default" w:ascii="方正仿宋简体" w:eastAsia="方正仿宋简体"/>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eastAsia="zh-CN"/>
        </w:rPr>
        <w:t>一、培训对象：</w:t>
      </w:r>
      <w:r>
        <w:rPr>
          <w:rStyle w:val="11"/>
          <w:rFonts w:hint="eastAsia" w:ascii="方正仿宋简体" w:eastAsia="方正仿宋简体"/>
          <w:b w:val="0"/>
          <w:color w:val="333333"/>
          <w:sz w:val="32"/>
          <w:szCs w:val="32"/>
          <w:lang w:eastAsia="zh-CN"/>
        </w:rPr>
        <w:t>面向成长性良好、创新能力强、容纳就业能力强、在区域或行业中处于龙头骨干地位的优质中小企业及服务机构招生，参训人员应为高级经营管理人员。计划招收</w:t>
      </w:r>
      <w:r>
        <w:rPr>
          <w:rStyle w:val="11"/>
          <w:rFonts w:hint="eastAsia" w:ascii="方正仿宋简体" w:eastAsia="方正仿宋简体"/>
          <w:b w:val="0"/>
          <w:color w:val="333333"/>
          <w:sz w:val="32"/>
          <w:szCs w:val="32"/>
          <w:lang w:val="en-US" w:eastAsia="zh-CN"/>
        </w:rPr>
        <w:t>40人。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eastAsia="zh-CN"/>
        </w:rPr>
      </w:pPr>
      <w:r>
        <w:rPr>
          <w:rStyle w:val="11"/>
          <w:rFonts w:hint="eastAsia" w:ascii="方正黑体简体" w:hAnsi="方正黑体简体" w:eastAsia="方正黑体简体" w:cs="方正黑体简体"/>
          <w:b w:val="0"/>
          <w:color w:val="333333"/>
          <w:sz w:val="32"/>
          <w:szCs w:val="32"/>
          <w:lang w:eastAsia="zh-CN"/>
        </w:rPr>
        <w:t>二、培训方式：</w:t>
      </w:r>
      <w:r>
        <w:rPr>
          <w:rStyle w:val="11"/>
          <w:rFonts w:hint="eastAsia" w:ascii="方正仿宋简体" w:eastAsia="方正仿宋简体"/>
          <w:b w:val="0"/>
          <w:color w:val="333333"/>
          <w:sz w:val="32"/>
          <w:szCs w:val="32"/>
          <w:lang w:eastAsia="zh-CN"/>
        </w:rPr>
        <w:t>主要采用集中培训与学习实践相结合、课堂教学与实际应用相结合等方式，围绕中小企业经营管理重点领域和薄弱环节，着力提升企业经营管理者专业素质和水平。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eastAsia="zh-CN"/>
        </w:rPr>
        <w:t>三、培训承担机构：</w:t>
      </w:r>
      <w:r>
        <w:rPr>
          <w:rStyle w:val="11"/>
          <w:rFonts w:hint="eastAsia" w:ascii="方正仿宋简体" w:eastAsia="方正仿宋简体" w:hAnsiTheme="minorHAnsi" w:cstheme="minorBidi"/>
          <w:b w:val="0"/>
          <w:color w:val="333333"/>
          <w:sz w:val="32"/>
          <w:szCs w:val="32"/>
          <w:lang w:eastAsia="zh-CN"/>
        </w:rPr>
        <w:t>工业和信息化部中小企业发展促进中心</w:t>
      </w:r>
      <w:r>
        <w:rPr>
          <w:rStyle w:val="11"/>
          <w:rFonts w:hint="eastAsia" w:ascii="方正仿宋简体" w:eastAsia="方正仿宋简体"/>
          <w:b w:val="0"/>
          <w:color w:val="333333"/>
          <w:sz w:val="32"/>
          <w:szCs w:val="32"/>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hAnsiTheme="minorHAnsi" w:cstheme="minorBidi"/>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val="en-US" w:eastAsia="zh-CN"/>
        </w:rPr>
        <w:t>四、培训时间：</w:t>
      </w:r>
      <w:r>
        <w:rPr>
          <w:rStyle w:val="11"/>
          <w:rFonts w:hint="eastAsia" w:ascii="方正仿宋简体" w:eastAsia="方正仿宋简体" w:hAnsiTheme="minorHAnsi" w:cstheme="minorBidi"/>
          <w:b w:val="0"/>
          <w:color w:val="333333"/>
          <w:sz w:val="32"/>
          <w:szCs w:val="32"/>
          <w:lang w:val="en-US" w:eastAsia="zh-CN"/>
        </w:rPr>
        <w:t>领军人才高质量发展研修班学制一年。全年集中授课16天（不少于128课时），每1-2月组织1次，每次3-5天。第一期集中授课时间地点另行通知。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hAnsiTheme="minorHAnsi" w:cstheme="minorBidi"/>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val="en-US" w:eastAsia="zh-CN"/>
        </w:rPr>
        <w:t>五、证书发放：</w:t>
      </w:r>
      <w:r>
        <w:rPr>
          <w:rStyle w:val="11"/>
          <w:rFonts w:hint="eastAsia" w:ascii="方正仿宋简体" w:eastAsia="方正仿宋简体" w:hAnsiTheme="minorHAnsi" w:cstheme="minorBidi"/>
          <w:b w:val="0"/>
          <w:color w:val="333333"/>
          <w:sz w:val="32"/>
          <w:szCs w:val="32"/>
          <w:lang w:val="en-US" w:eastAsia="zh-CN"/>
        </w:rPr>
        <w:t>颁发由工业和信息化部统一印制的“中小企业经营管理领军人才”培训证书，学员信息录入工业和信息化部“全国中小企业经营管理领军人才库”。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hAnsiTheme="minorHAnsi" w:cstheme="minorBidi"/>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val="en-US" w:eastAsia="zh-CN"/>
        </w:rPr>
        <w:t>六、收费标准：</w:t>
      </w:r>
      <w:r>
        <w:rPr>
          <w:rStyle w:val="11"/>
          <w:rFonts w:hint="eastAsia" w:ascii="方正仿宋简体" w:eastAsia="方正仿宋简体" w:hAnsiTheme="minorHAnsi" w:cstheme="minorBidi"/>
          <w:b w:val="0"/>
          <w:color w:val="333333"/>
          <w:sz w:val="32"/>
          <w:szCs w:val="32"/>
          <w:lang w:eastAsia="zh-CN"/>
        </w:rPr>
        <w:t>费用共计</w:t>
      </w:r>
      <w:r>
        <w:rPr>
          <w:rStyle w:val="11"/>
          <w:rFonts w:hint="eastAsia" w:ascii="方正仿宋简体" w:eastAsia="方正仿宋简体" w:hAnsiTheme="minorHAnsi" w:cstheme="minorBidi"/>
          <w:b w:val="0"/>
          <w:color w:val="333333"/>
          <w:sz w:val="32"/>
          <w:szCs w:val="32"/>
          <w:lang w:val="en-US" w:eastAsia="zh-CN"/>
        </w:rPr>
        <w:t>3.5万元</w:t>
      </w:r>
      <w:r>
        <w:rPr>
          <w:rStyle w:val="11"/>
          <w:rFonts w:hint="default" w:ascii="方正仿宋简体" w:eastAsia="方正仿宋简体" w:hAnsiTheme="minorHAnsi" w:cstheme="minorBidi"/>
          <w:b w:val="0"/>
          <w:color w:val="333333"/>
          <w:sz w:val="32"/>
          <w:szCs w:val="32"/>
          <w:lang w:eastAsia="zh-CN"/>
        </w:rPr>
        <w:t>/人</w:t>
      </w:r>
      <w:r>
        <w:rPr>
          <w:rStyle w:val="11"/>
          <w:rFonts w:hint="eastAsia" w:ascii="方正仿宋简体" w:eastAsia="方正仿宋简体" w:hAnsiTheme="minorHAnsi" w:cstheme="minorBidi"/>
          <w:b w:val="0"/>
          <w:color w:val="333333"/>
          <w:sz w:val="32"/>
          <w:szCs w:val="32"/>
          <w:lang w:eastAsia="zh-CN"/>
        </w:rPr>
        <w:t>（包括培训费、教材费、制作费、场租费、证书费等）</w:t>
      </w:r>
      <w:r>
        <w:rPr>
          <w:rStyle w:val="11"/>
          <w:rFonts w:hint="default" w:ascii="方正仿宋简体" w:eastAsia="方正仿宋简体" w:hAnsiTheme="minorHAnsi" w:cstheme="minorBidi"/>
          <w:b w:val="0"/>
          <w:color w:val="333333"/>
          <w:sz w:val="32"/>
          <w:szCs w:val="32"/>
          <w:lang w:eastAsia="zh-CN"/>
        </w:rPr>
        <w:t>，其中学员自筹</w:t>
      </w:r>
      <w:r>
        <w:rPr>
          <w:rStyle w:val="11"/>
          <w:rFonts w:hint="eastAsia" w:ascii="方正仿宋简体" w:eastAsia="方正仿宋简体" w:hAnsiTheme="minorHAnsi" w:cstheme="minorBidi"/>
          <w:b w:val="0"/>
          <w:color w:val="333333"/>
          <w:sz w:val="32"/>
          <w:szCs w:val="32"/>
          <w:lang w:eastAsia="zh-CN"/>
        </w:rPr>
        <w:t>费用</w:t>
      </w:r>
      <w:r>
        <w:rPr>
          <w:rStyle w:val="11"/>
          <w:rFonts w:hint="eastAsia" w:ascii="方正仿宋简体" w:eastAsia="方正仿宋简体" w:hAnsiTheme="minorHAnsi" w:cstheme="minorBidi"/>
          <w:b w:val="0"/>
          <w:color w:val="333333"/>
          <w:sz w:val="32"/>
          <w:szCs w:val="32"/>
          <w:lang w:val="en-US" w:eastAsia="zh-CN"/>
        </w:rPr>
        <w:t>2.38万元，其余为国家财政和其他补贴。培训期间的住宿、就餐、城市间交通费用等由学员自理。参训学员可在工业和信息化部领军人才培训项目实施期内每年免费参加复训。</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val="en-US" w:eastAsia="zh-CN"/>
        </w:rPr>
      </w:pPr>
      <w:r>
        <w:rPr>
          <w:rStyle w:val="11"/>
          <w:rFonts w:hint="eastAsia" w:ascii="方正黑体简体" w:hAnsi="方正黑体简体" w:eastAsia="方正黑体简体" w:cs="方正黑体简体"/>
          <w:b w:val="0"/>
          <w:color w:val="333333"/>
          <w:sz w:val="32"/>
          <w:szCs w:val="32"/>
          <w:lang w:val="en-US" w:eastAsia="zh-CN"/>
        </w:rPr>
        <w:t>七、有关要求：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（一）请各街镇、园区结合实际，协助做好学员选拔工作。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（二）培训坚持企业自愿原则，不得以任何形式强制或者变相强制企业参加培训。</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default"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（三）报名人员请于3月30日前，将《领军人才学员推荐表》（PDF格式）发送区工信局邮箱bdqgxj05@tj.gov.cn。</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Style w:val="11"/>
          <w:rFonts w:hint="default"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联系人：苑玉红       联系电话：29246947</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80"/>
        <w:jc w:val="center"/>
        <w:textAlignment w:val="auto"/>
        <w:rPr>
          <w:rStyle w:val="11"/>
          <w:rFonts w:ascii="方正仿宋简体" w:eastAsia="方正仿宋简体"/>
          <w:b w:val="0"/>
          <w:color w:val="333333"/>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1437" w:leftChars="227" w:hanging="960" w:hangingChars="300"/>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 xml:space="preserve"> </w:t>
      </w:r>
      <w:r>
        <w:rPr>
          <w:rStyle w:val="11"/>
          <w:rFonts w:hint="eastAsia" w:ascii="方正仿宋简体" w:eastAsia="方正仿宋简体"/>
          <w:b w:val="0"/>
          <w:color w:val="333333"/>
          <w:sz w:val="32"/>
          <w:szCs w:val="32"/>
        </w:rPr>
        <w:t>附件：</w:t>
      </w:r>
      <w:r>
        <w:rPr>
          <w:rStyle w:val="11"/>
          <w:rFonts w:hint="eastAsia" w:ascii="方正仿宋简体" w:eastAsia="方正仿宋简体"/>
          <w:b w:val="0"/>
          <w:color w:val="333333"/>
          <w:sz w:val="32"/>
          <w:szCs w:val="32"/>
          <w:lang w:val="en-US" w:eastAsia="zh-CN"/>
        </w:rPr>
        <w:t>1. 中小企业经营管理领军人才高质量发展研修班招生简章</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1440" w:leftChars="0" w:firstLine="160" w:firstLineChars="50"/>
        <w:textAlignment w:val="auto"/>
        <w:rPr>
          <w:rStyle w:val="11"/>
          <w:rFonts w:ascii="方正仿宋简体" w:eastAsia="方正仿宋简体"/>
          <w:b w:val="0"/>
          <w:color w:val="333333"/>
          <w:sz w:val="32"/>
          <w:szCs w:val="32"/>
        </w:rPr>
      </w:pPr>
      <w:r>
        <w:rPr>
          <w:rStyle w:val="11"/>
          <w:rFonts w:hint="eastAsia" w:ascii="方正仿宋简体" w:eastAsia="方正仿宋简体"/>
          <w:b w:val="0"/>
          <w:color w:val="333333"/>
          <w:sz w:val="32"/>
          <w:szCs w:val="32"/>
          <w:lang w:val="en-US" w:eastAsia="zh-CN"/>
        </w:rPr>
        <w:t>领军人才学员推荐表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 xml:space="preserve">        （以上附件可自行下载，网址http://www.smetj.cn）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320" w:firstLineChars="1350"/>
        <w:textAlignment w:val="auto"/>
        <w:rPr>
          <w:rStyle w:val="11"/>
          <w:rFonts w:hint="eastAsia" w:ascii="方正仿宋简体" w:eastAsia="方正仿宋简体"/>
          <w:b w:val="0"/>
          <w:color w:val="333333"/>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320" w:firstLineChars="1350"/>
        <w:textAlignment w:val="auto"/>
        <w:rPr>
          <w:rStyle w:val="11"/>
          <w:rFonts w:hint="eastAsia" w:ascii="方正仿宋简体" w:eastAsia="方正仿宋简体"/>
          <w:b w:val="0"/>
          <w:color w:val="333333"/>
          <w:sz w:val="32"/>
          <w:szCs w:val="32"/>
          <w:lang w:val="en-US" w:eastAsia="zh-CN"/>
        </w:rPr>
      </w:pPr>
      <w:r>
        <w:rPr>
          <w:rStyle w:val="11"/>
          <w:rFonts w:hint="eastAsia" w:ascii="方正仿宋简体" w:eastAsia="方正仿宋简体"/>
          <w:b w:val="0"/>
          <w:color w:val="333333"/>
          <w:sz w:val="32"/>
          <w:szCs w:val="32"/>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800" w:firstLineChars="1500"/>
        <w:textAlignment w:val="auto"/>
        <w:rPr>
          <w:rStyle w:val="11"/>
          <w:rFonts w:ascii="方正仿宋简体" w:eastAsia="方正仿宋简体"/>
          <w:b w:val="0"/>
          <w:color w:val="333333"/>
          <w:sz w:val="32"/>
          <w:szCs w:val="32"/>
        </w:rPr>
      </w:pPr>
      <w:r>
        <w:rPr>
          <w:rStyle w:val="11"/>
          <w:rFonts w:hint="eastAsia" w:ascii="方正仿宋简体" w:eastAsia="方正仿宋简体"/>
          <w:b w:val="0"/>
          <w:color w:val="333333"/>
          <w:sz w:val="32"/>
          <w:szCs w:val="32"/>
        </w:rPr>
        <w:t>宝坻区工业和信息化局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4640" w:firstLineChars="1450"/>
        <w:textAlignment w:val="auto"/>
        <w:rPr>
          <w:rStyle w:val="11"/>
          <w:rFonts w:hint="eastAsia" w:ascii="方正仿宋简体" w:eastAsia="方正仿宋简体"/>
          <w:b w:val="0"/>
          <w:color w:val="333333"/>
          <w:sz w:val="32"/>
          <w:szCs w:val="32"/>
        </w:rPr>
      </w:pPr>
      <w:r>
        <w:rPr>
          <w:rStyle w:val="11"/>
          <w:rFonts w:hint="eastAsia" w:ascii="方正仿宋简体" w:eastAsia="方正仿宋简体"/>
          <w:b w:val="0"/>
          <w:color w:val="333333"/>
          <w:sz w:val="32"/>
          <w:szCs w:val="32"/>
          <w:lang w:val="en-US" w:eastAsia="zh-CN"/>
        </w:rPr>
        <w:t xml:space="preserve">    </w:t>
      </w:r>
      <w:r>
        <w:rPr>
          <w:rStyle w:val="11"/>
          <w:rFonts w:hint="eastAsia" w:ascii="方正仿宋简体" w:eastAsia="方正仿宋简体"/>
          <w:b w:val="0"/>
          <w:color w:val="333333"/>
          <w:sz w:val="32"/>
          <w:szCs w:val="32"/>
        </w:rPr>
        <w:t>202</w:t>
      </w:r>
      <w:r>
        <w:rPr>
          <w:rStyle w:val="11"/>
          <w:rFonts w:hint="eastAsia" w:ascii="方正仿宋简体" w:eastAsia="方正仿宋简体"/>
          <w:b w:val="0"/>
          <w:color w:val="333333"/>
          <w:sz w:val="32"/>
          <w:szCs w:val="32"/>
          <w:lang w:val="en-US" w:eastAsia="zh-CN"/>
        </w:rPr>
        <w:t>4</w:t>
      </w:r>
      <w:r>
        <w:rPr>
          <w:rStyle w:val="11"/>
          <w:rFonts w:hint="eastAsia" w:ascii="方正仿宋简体" w:eastAsia="方正仿宋简体"/>
          <w:b w:val="0"/>
          <w:color w:val="333333"/>
          <w:sz w:val="32"/>
          <w:szCs w:val="32"/>
        </w:rPr>
        <w:t>年</w:t>
      </w:r>
      <w:r>
        <w:rPr>
          <w:rStyle w:val="11"/>
          <w:rFonts w:hint="eastAsia" w:ascii="方正仿宋简体" w:eastAsia="方正仿宋简体"/>
          <w:b w:val="0"/>
          <w:color w:val="333333"/>
          <w:sz w:val="32"/>
          <w:szCs w:val="32"/>
          <w:lang w:val="en-US" w:eastAsia="zh-CN"/>
        </w:rPr>
        <w:t>2</w:t>
      </w:r>
      <w:r>
        <w:rPr>
          <w:rStyle w:val="11"/>
          <w:rFonts w:hint="eastAsia" w:ascii="方正仿宋简体" w:eastAsia="方正仿宋简体"/>
          <w:b w:val="0"/>
          <w:color w:val="333333"/>
          <w:sz w:val="32"/>
          <w:szCs w:val="32"/>
        </w:rPr>
        <w:t>月</w:t>
      </w:r>
      <w:r>
        <w:rPr>
          <w:rStyle w:val="11"/>
          <w:rFonts w:hint="default" w:ascii="方正仿宋简体" w:eastAsia="方正仿宋简体"/>
          <w:b w:val="0"/>
          <w:color w:val="333333"/>
          <w:sz w:val="32"/>
          <w:szCs w:val="32"/>
          <w:lang w:val="en-US" w:eastAsia="zh-CN"/>
        </w:rPr>
        <w:t>26</w:t>
      </w:r>
      <w:r>
        <w:rPr>
          <w:rStyle w:val="11"/>
          <w:rFonts w:hint="eastAsia" w:ascii="方正仿宋简体" w:eastAsia="方正仿宋简体"/>
          <w:b w:val="0"/>
          <w:color w:val="333333"/>
          <w:sz w:val="32"/>
          <w:szCs w:val="32"/>
        </w:rPr>
        <w:t>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Style w:val="11"/>
          <w:rFonts w:hint="eastAsia" w:ascii="方正仿宋简体" w:eastAsia="方正仿宋简体"/>
          <w:b w:val="0"/>
          <w:color w:val="333333"/>
          <w:sz w:val="32"/>
          <w:szCs w:val="32"/>
          <w:lang w:eastAsia="zh-CN"/>
        </w:rPr>
      </w:pPr>
      <w:r>
        <w:rPr>
          <w:rStyle w:val="11"/>
          <w:rFonts w:hint="eastAsia" w:ascii="方正仿宋简体" w:eastAsia="方正仿宋简体"/>
          <w:b w:val="0"/>
          <w:color w:val="333333"/>
          <w:sz w:val="32"/>
          <w:szCs w:val="32"/>
          <w:lang w:eastAsia="zh-CN"/>
        </w:rPr>
        <w:t>（此件主动公开）</w:t>
      </w:r>
      <w:bookmarkStart w:id="0" w:name="_GoBack"/>
      <w:bookmarkEnd w:id="0"/>
    </w:p>
    <w:p>
      <w:pPr>
        <w:pStyle w:val="7"/>
        <w:keepNext w:val="0"/>
        <w:keepLines w:val="0"/>
        <w:pageBreakBefore w:val="0"/>
        <w:kinsoku/>
        <w:wordWrap/>
        <w:overflowPunct/>
        <w:topLinePunct w:val="0"/>
        <w:autoSpaceDE/>
        <w:autoSpaceDN/>
        <w:bidi w:val="0"/>
        <w:adjustRightInd/>
        <w:spacing w:before="0" w:beforeAutospacing="0" w:after="0" w:afterAutospacing="0" w:line="560" w:lineRule="exact"/>
        <w:ind w:left="0"/>
        <w:jc w:val="both"/>
        <w:textAlignment w:val="auto"/>
        <w:rPr>
          <w:rFonts w:ascii="仿宋_GB2312" w:hAnsi="仿宋" w:eastAsia="仿宋_GB2312"/>
          <w:sz w:val="30"/>
          <w:szCs w:val="30"/>
        </w:rPr>
      </w:pPr>
      <w:r>
        <w:rPr>
          <w:rFonts w:hint="eastAsia" w:ascii="仿宋_GB2312" w:hAnsi="仿宋" w:eastAsia="仿宋_GB2312"/>
          <w:sz w:val="30"/>
          <w:szCs w:val="30"/>
        </w:rPr>
        <w:t>附件</w:t>
      </w:r>
      <w:r>
        <w:rPr>
          <w:rFonts w:hint="eastAsia" w:ascii="仿宋_GB2312" w:hAnsi="仿宋" w:eastAsia="仿宋_GB2312"/>
          <w:sz w:val="30"/>
          <w:szCs w:val="30"/>
          <w:lang w:val="en-US" w:eastAsia="zh-CN"/>
        </w:rPr>
        <w:t>1</w:t>
      </w:r>
      <w:r>
        <w:rPr>
          <w:rFonts w:hint="eastAsia" w:ascii="仿宋_GB2312" w:hAnsi="仿宋" w:eastAsia="仿宋_GB2312"/>
          <w:sz w:val="30"/>
          <w:szCs w:val="30"/>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rPr>
          <w:rStyle w:val="11"/>
          <w:rFonts w:hint="eastAsia" w:ascii="方正小标宋简体" w:hAnsi="方正小标宋简体" w:eastAsia="方正小标宋简体" w:cs="方正小标宋简体"/>
          <w:b w:val="0"/>
          <w:sz w:val="40"/>
          <w:szCs w:val="40"/>
        </w:rPr>
      </w:pPr>
      <w:r>
        <w:rPr>
          <w:rStyle w:val="11"/>
          <w:rFonts w:hint="eastAsia" w:ascii="方正小标宋简体" w:hAnsi="方正小标宋简体" w:eastAsia="方正小标宋简体" w:cs="方正小标宋简体"/>
          <w:b w:val="0"/>
          <w:sz w:val="40"/>
          <w:szCs w:val="40"/>
        </w:rPr>
        <w:t>中小企业经营管理领军人才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rPr>
          <w:rStyle w:val="11"/>
          <w:rFonts w:ascii="方正小标宋简体" w:hAnsi="方正小标宋简体" w:eastAsia="方正小标宋简体" w:cs="方正小标宋简体"/>
          <w:b w:val="0"/>
          <w:sz w:val="40"/>
          <w:szCs w:val="40"/>
        </w:rPr>
      </w:pPr>
      <w:r>
        <w:rPr>
          <w:rStyle w:val="11"/>
          <w:rFonts w:hint="eastAsia" w:ascii="方正小标宋简体" w:hAnsi="方正小标宋简体" w:eastAsia="方正小标宋简体" w:cs="方正小标宋简体"/>
          <w:b w:val="0"/>
          <w:sz w:val="40"/>
          <w:szCs w:val="40"/>
        </w:rPr>
        <w:t>高质量发展研修班招生简章</w:t>
      </w:r>
    </w:p>
    <w:p>
      <w:pPr>
        <w:keepNext w:val="0"/>
        <w:keepLines w:val="0"/>
        <w:pageBreakBefore w:val="0"/>
        <w:kinsoku/>
        <w:wordWrap/>
        <w:overflowPunct/>
        <w:topLinePunct w:val="0"/>
        <w:autoSpaceDE/>
        <w:autoSpaceDN/>
        <w:bidi w:val="0"/>
        <w:adjustRightInd/>
        <w:spacing w:line="560" w:lineRule="exact"/>
        <w:ind w:left="0"/>
        <w:jc w:val="center"/>
        <w:textAlignment w:val="auto"/>
        <w:rPr>
          <w:rStyle w:val="11"/>
          <w:rFonts w:hAnsi="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项目背景</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eastAsia="仿宋_GB2312"/>
          <w:kern w:val="0"/>
          <w:sz w:val="32"/>
          <w:szCs w:val="32"/>
        </w:rPr>
      </w:pPr>
      <w:r>
        <w:rPr>
          <w:rFonts w:hint="eastAsia" w:ascii="仿宋_GB2312" w:hAnsi="仿宋_GB2312" w:eastAsia="仿宋_GB2312" w:cs="仿宋_GB2312"/>
          <w:sz w:val="32"/>
          <w:szCs w:val="32"/>
        </w:rPr>
        <w:t>习近平总书记强调：“国家发展靠人才，民族振兴靠人才”。人才是推动发展的第一资源。</w:t>
      </w:r>
      <w:r>
        <w:rPr>
          <w:rFonts w:hint="eastAsia" w:eastAsia="仿宋_GB2312"/>
          <w:kern w:val="0"/>
          <w:sz w:val="32"/>
          <w:szCs w:val="32"/>
        </w:rPr>
        <w:t>中小企业是国民经济的重要组成部分，在促进增长、创造税收、满足内需、吸纳就业等方面发挥了重要作用。</w:t>
      </w:r>
      <w:r>
        <w:rPr>
          <w:rFonts w:hint="eastAsia" w:ascii="仿宋_GB2312" w:hAnsi="仿宋_GB2312" w:eastAsia="仿宋_GB2312" w:cs="仿宋_GB2312"/>
          <w:sz w:val="32"/>
          <w:szCs w:val="32"/>
        </w:rPr>
        <w:t>培育一批精通现代科学管理、能够凝聚各方人才、善于捕捉市场机遇的高素质中小企业家队伍，对促进中小企业高质量发展具有重要的意义。</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eastAsia="仿宋_GB2312"/>
          <w:kern w:val="0"/>
          <w:sz w:val="32"/>
          <w:szCs w:val="32"/>
        </w:rPr>
      </w:pPr>
      <w:r>
        <w:rPr>
          <w:rFonts w:hint="eastAsia" w:ascii="仿宋_GB2312" w:hAnsi="仿宋_GB2312" w:eastAsia="仿宋_GB2312" w:cs="仿宋_GB2312"/>
          <w:sz w:val="32"/>
          <w:szCs w:val="32"/>
        </w:rPr>
        <w:t>“企业经营管理人才素质提升工程”是《国家中长期人才发展规划纲要》部署的</w:t>
      </w:r>
      <w:r>
        <w:rPr>
          <w:rFonts w:hint="eastAsia" w:eastAsia="仿宋_GB2312"/>
          <w:bCs/>
          <w:sz w:val="32"/>
          <w:szCs w:val="32"/>
        </w:rPr>
        <w:t>12项国家</w:t>
      </w:r>
      <w:r>
        <w:rPr>
          <w:rFonts w:hint="eastAsia" w:ascii="仿宋_GB2312" w:hAnsi="仿宋_GB2312" w:eastAsia="仿宋_GB2312" w:cs="仿宋_GB2312"/>
          <w:sz w:val="32"/>
          <w:szCs w:val="32"/>
        </w:rPr>
        <w:t>重大人才工程之一，自</w:t>
      </w:r>
      <w:r>
        <w:rPr>
          <w:rFonts w:hint="eastAsia" w:eastAsia="仿宋_GB2312"/>
          <w:bCs/>
          <w:sz w:val="32"/>
          <w:szCs w:val="32"/>
        </w:rPr>
        <w:t>2012年</w:t>
      </w:r>
      <w:r>
        <w:rPr>
          <w:rFonts w:hint="eastAsia" w:ascii="仿宋_GB2312" w:hAnsi="仿宋_GB2312" w:eastAsia="仿宋_GB2312" w:cs="仿宋_GB2312"/>
          <w:sz w:val="32"/>
          <w:szCs w:val="32"/>
        </w:rPr>
        <w:t>起由国资委会同工业和信息化部有关部门组织实施，中小企业经营管理领军人才培训项目是该工程的重要组成部分。工业和信息化部中小企业发展促进中心</w:t>
      </w:r>
      <w:r>
        <w:rPr>
          <w:rFonts w:hint="eastAsia" w:eastAsia="仿宋_GB2312"/>
          <w:kern w:val="0"/>
          <w:sz w:val="32"/>
          <w:szCs w:val="32"/>
        </w:rPr>
        <w:t>自</w:t>
      </w:r>
      <w:r>
        <w:rPr>
          <w:rFonts w:hint="eastAsia" w:eastAsia="仿宋_GB2312"/>
          <w:bCs/>
          <w:sz w:val="32"/>
          <w:szCs w:val="32"/>
        </w:rPr>
        <w:t>2012年起</w:t>
      </w:r>
      <w:r>
        <w:rPr>
          <w:rFonts w:hint="eastAsia" w:eastAsia="仿宋_GB2312"/>
          <w:kern w:val="0"/>
          <w:sz w:val="32"/>
          <w:szCs w:val="32"/>
        </w:rPr>
        <w:t>，已连续1</w:t>
      </w:r>
      <w:r>
        <w:rPr>
          <w:rFonts w:eastAsia="仿宋_GB2312"/>
          <w:kern w:val="0"/>
          <w:sz w:val="32"/>
          <w:szCs w:val="32"/>
        </w:rPr>
        <w:t>2</w:t>
      </w:r>
      <w:r>
        <w:rPr>
          <w:rFonts w:hint="eastAsia" w:eastAsia="仿宋_GB2312"/>
          <w:kern w:val="0"/>
          <w:sz w:val="32"/>
          <w:szCs w:val="32"/>
        </w:rPr>
        <w:t>年开展中小企业经营管理领军人才培训，共培训了来自全国2</w:t>
      </w:r>
      <w:r>
        <w:rPr>
          <w:rFonts w:eastAsia="仿宋_GB2312"/>
          <w:kern w:val="0"/>
          <w:sz w:val="32"/>
          <w:szCs w:val="32"/>
        </w:rPr>
        <w:t>0</w:t>
      </w:r>
      <w:r>
        <w:rPr>
          <w:rFonts w:hint="eastAsia" w:eastAsia="仿宋_GB2312"/>
          <w:kern w:val="0"/>
          <w:sz w:val="32"/>
          <w:szCs w:val="32"/>
        </w:rPr>
        <w:t>多个省、自治区、直辖市的千余名学员，进行了</w:t>
      </w:r>
      <w:r>
        <w:rPr>
          <w:rFonts w:eastAsia="仿宋_GB2312"/>
          <w:kern w:val="0"/>
          <w:sz w:val="32"/>
          <w:szCs w:val="32"/>
        </w:rPr>
        <w:t>48</w:t>
      </w:r>
      <w:r>
        <w:rPr>
          <w:rFonts w:hint="eastAsia" w:eastAsia="仿宋_GB2312"/>
          <w:kern w:val="0"/>
          <w:sz w:val="32"/>
          <w:szCs w:val="32"/>
        </w:rPr>
        <w:t>次集中培训。近百名讲师举行了专题讲座和研讨交流。集中授课期间，还进行了27次主题沙龙、15次学员故事分享、30余次班会、40余次参观考察、8次国际合作对接、12次企业拓展等活动。</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受工业和信息化部中小企业局委托，我中心继续承担</w:t>
      </w:r>
      <w:r>
        <w:rPr>
          <w:rFonts w:eastAsia="仿宋_GB2312"/>
          <w:sz w:val="32"/>
          <w:szCs w:val="32"/>
        </w:rPr>
        <w:t>2023-2024</w:t>
      </w:r>
      <w:r>
        <w:rPr>
          <w:rFonts w:hint="eastAsia" w:ascii="仿宋_GB2312" w:hAnsi="仿宋_GB2312" w:eastAsia="仿宋_GB2312" w:cs="仿宋_GB2312"/>
          <w:sz w:val="32"/>
          <w:szCs w:val="32"/>
        </w:rPr>
        <w:t>年度中小企业经营管理领军人才培训项目，本次培训的主题为“聚焦专精特新，助力高质量发展”。</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培训对象</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全国成长性好、创新能力强、在区域或行业中处于龙头骨干地位的优质中小企业的高级别</w:t>
      </w:r>
      <w:r>
        <w:rPr>
          <w:rFonts w:ascii="仿宋_GB2312" w:hAnsi="仿宋_GB2312" w:eastAsia="仿宋_GB2312" w:cs="仿宋_GB2312"/>
          <w:sz w:val="32"/>
          <w:szCs w:val="32"/>
        </w:rPr>
        <w:t>经营管理者</w:t>
      </w:r>
      <w:r>
        <w:rPr>
          <w:rFonts w:hint="eastAsia" w:ascii="仿宋_GB2312" w:hAnsi="仿宋_GB2312" w:eastAsia="仿宋_GB2312" w:cs="仿宋_GB2312"/>
          <w:sz w:val="32"/>
          <w:szCs w:val="32"/>
        </w:rPr>
        <w:t>，优先考虑专精特新中小企业以及创新型中小企业，兼顾优质中小企业服务机构。</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中心将按照领军人才培训项目的基本要求对学员资格进行审核，并向符合条件的学员发放录取通知书。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研修特色</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研究班致力于构建“学习</w:t>
      </w:r>
      <w:r>
        <w:rPr>
          <w:rFonts w:hint="eastAsia" w:eastAsia="仿宋_GB2312"/>
          <w:bCs/>
          <w:sz w:val="32"/>
          <w:szCs w:val="32"/>
        </w:rPr>
        <w:t>+</w:t>
      </w:r>
      <w:r>
        <w:rPr>
          <w:rFonts w:hint="eastAsia" w:ascii="仿宋_GB2312" w:hAnsi="仿宋_GB2312" w:eastAsia="仿宋_GB2312" w:cs="仿宋_GB2312"/>
          <w:sz w:val="32"/>
          <w:szCs w:val="32"/>
          <w:shd w:val="clear" w:color="auto" w:fill="FFFFFF"/>
        </w:rPr>
        <w:t>分享</w:t>
      </w:r>
      <w:r>
        <w:rPr>
          <w:rFonts w:hint="eastAsia" w:eastAsia="仿宋_GB2312"/>
          <w:bCs/>
          <w:sz w:val="32"/>
          <w:szCs w:val="32"/>
        </w:rPr>
        <w:t>+</w:t>
      </w:r>
      <w:r>
        <w:rPr>
          <w:rFonts w:hint="eastAsia" w:ascii="仿宋_GB2312" w:hAnsi="仿宋_GB2312" w:eastAsia="仿宋_GB2312" w:cs="仿宋_GB2312"/>
          <w:sz w:val="32"/>
          <w:szCs w:val="32"/>
          <w:shd w:val="clear" w:color="auto" w:fill="FFFFFF"/>
        </w:rPr>
        <w:t>服务”的培育模式，实现理论与实践结合，需求与资源对接。除集中授课外，研修期间将组织行业协会座谈、企业交流沙龙、典型案例解析、标杆企业考察等游学活动，分享先进发展经验；中心还将结合自身优质资源和渠道开展精准服务，为企业提供评估诊断工具，协助企业开拓国际市场，组织专项咨询对接活动。</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优质课程助成长：</w:t>
      </w:r>
      <w:r>
        <w:rPr>
          <w:rFonts w:hint="eastAsia" w:ascii="仿宋_GB2312" w:hAnsi="仿宋_GB2312" w:eastAsia="仿宋_GB2312" w:cs="仿宋_GB2312"/>
          <w:sz w:val="32"/>
          <w:szCs w:val="32"/>
          <w:shd w:val="clear" w:color="auto" w:fill="FFFFFF"/>
        </w:rPr>
        <w:t>课程设计突出专业和创新，通过线下集中和线上自学形式，从管理模式、商业模式以及科技研发等角度，帮助参训企业培育新的增长点，形成新的竞争优势。</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系统评估明方向：</w:t>
      </w:r>
      <w:r>
        <w:rPr>
          <w:rFonts w:hint="eastAsia" w:ascii="仿宋_GB2312" w:hAnsi="仿宋_GB2312" w:eastAsia="仿宋_GB2312" w:cs="仿宋_GB2312"/>
          <w:sz w:val="32"/>
          <w:szCs w:val="32"/>
          <w:shd w:val="clear" w:color="auto" w:fill="FFFFFF"/>
        </w:rPr>
        <w:t>系统评估企业高质量发展现状、上市基础、知识产权布局以及科技创新现状，帮助企业对标区域及行业内专精特新“小巨人”企业、制造业单项冠军企业，找到企业发展的短板弱项，</w:t>
      </w:r>
      <w:r>
        <w:rPr>
          <w:rFonts w:hint="eastAsia" w:ascii="仿宋_GB2312" w:eastAsia="仿宋_GB2312"/>
          <w:sz w:val="32"/>
          <w:szCs w:val="32"/>
        </w:rPr>
        <w:t>增强企业竞争力</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增值赋能促提升：</w:t>
      </w:r>
      <w:r>
        <w:rPr>
          <w:rFonts w:hint="eastAsia" w:ascii="仿宋_GB2312" w:hAnsi="宋体" w:eastAsia="仿宋_GB2312" w:cs="Arial"/>
          <w:sz w:val="32"/>
          <w:szCs w:val="32"/>
        </w:rPr>
        <w:t>中心</w:t>
      </w:r>
      <w:r>
        <w:rPr>
          <w:rFonts w:hint="eastAsia" w:ascii="仿宋_GB2312" w:eastAsia="仿宋_GB2312"/>
          <w:sz w:val="32"/>
          <w:szCs w:val="32"/>
        </w:rPr>
        <w:t>拥有全国中小企业服务联盟、中小企业志愿者服务平台、</w:t>
      </w:r>
      <w:r>
        <w:rPr>
          <w:rFonts w:hint="eastAsia" w:ascii="仿宋_GB2312" w:hAnsi="宋体" w:eastAsia="仿宋_GB2312" w:cs="Arial"/>
          <w:bCs/>
          <w:sz w:val="32"/>
          <w:szCs w:val="32"/>
        </w:rPr>
        <w:t>中国中小企业融资服务联盟</w:t>
      </w:r>
      <w:r>
        <w:rPr>
          <w:rFonts w:hint="eastAsia" w:ascii="仿宋_GB2312" w:eastAsia="仿宋_GB2312"/>
          <w:sz w:val="32"/>
          <w:szCs w:val="32"/>
        </w:rPr>
        <w:t>和中外合作园区等资源，并协助工业和信息化部建立全国中小企业服务“一张网”，能够便利地</w:t>
      </w:r>
      <w:r>
        <w:rPr>
          <w:rFonts w:hint="eastAsia" w:ascii="仿宋_GB2312" w:hAnsi="仿宋_GB2312" w:eastAsia="仿宋_GB2312" w:cs="仿宋_GB2312"/>
          <w:sz w:val="32"/>
          <w:szCs w:val="32"/>
          <w:shd w:val="clear" w:color="auto" w:fill="FFFFFF"/>
        </w:rPr>
        <w:t>组织多种形式的咨询对接活动，包括科技成果转化、数字化转型、质量标准品牌建设、金融对接等，为企业高质量发展增值赋能。</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eastAsia="仿宋_GB2312"/>
          <w:color w:val="000000"/>
          <w:sz w:val="32"/>
          <w:szCs w:val="32"/>
        </w:rPr>
      </w:pPr>
      <w:r>
        <w:rPr>
          <w:rFonts w:hint="eastAsia" w:ascii="仿宋_GB2312" w:hAnsi="仿宋_GB2312" w:eastAsia="仿宋_GB2312" w:cs="仿宋_GB2312"/>
          <w:b/>
          <w:bCs/>
          <w:sz w:val="32"/>
          <w:szCs w:val="32"/>
          <w:shd w:val="clear" w:color="auto" w:fill="FFFFFF"/>
        </w:rPr>
        <w:t>国际合作拓市场：</w:t>
      </w:r>
      <w:r>
        <w:rPr>
          <w:rFonts w:hint="eastAsia" w:ascii="仿宋_GB2312" w:hAnsi="宋体" w:eastAsia="仿宋_GB2312" w:cs="Arial"/>
          <w:sz w:val="32"/>
          <w:szCs w:val="32"/>
        </w:rPr>
        <w:t>中心已</w:t>
      </w:r>
      <w:r>
        <w:rPr>
          <w:rFonts w:hint="eastAsia" w:ascii="仿宋_GB2312" w:eastAsia="仿宋_GB2312"/>
          <w:sz w:val="32"/>
          <w:szCs w:val="32"/>
        </w:rPr>
        <w:t>与</w:t>
      </w:r>
      <w:r>
        <w:rPr>
          <w:rFonts w:eastAsia="仿宋_GB2312"/>
          <w:sz w:val="32"/>
          <w:szCs w:val="32"/>
        </w:rPr>
        <w:t>30</w:t>
      </w:r>
      <w:r>
        <w:rPr>
          <w:rFonts w:hint="eastAsia" w:ascii="仿宋_GB2312" w:eastAsia="仿宋_GB2312"/>
          <w:sz w:val="32"/>
          <w:szCs w:val="32"/>
        </w:rPr>
        <w:t>多个国家的政府部门、商协会建立良好的合作关系，承办商务部援外培训项目，可为企业开展国际合作提供信息渠道和平台</w:t>
      </w:r>
      <w:r>
        <w:rPr>
          <w:rFonts w:hint="eastAsia" w:ascii="仿宋_GB2312" w:hAnsi="仿宋_GB2312" w:eastAsia="仿宋_GB2312" w:cs="仿宋_GB2312"/>
          <w:sz w:val="32"/>
          <w:szCs w:val="32"/>
          <w:shd w:val="clear" w:color="auto" w:fill="FFFFFF"/>
        </w:rPr>
        <w:t>，帮助中小企业拓展国际视野</w:t>
      </w:r>
      <w:r>
        <w:rPr>
          <w:rFonts w:hint="eastAsia" w:eastAsia="仿宋_GB2312"/>
          <w:color w:val="000000"/>
          <w:sz w:val="32"/>
          <w:szCs w:val="32"/>
        </w:rPr>
        <w:t>，</w:t>
      </w:r>
      <w:r>
        <w:rPr>
          <w:rFonts w:hint="eastAsia" w:ascii="仿宋_GB2312" w:hAnsi="仿宋_GB2312" w:eastAsia="仿宋_GB2312" w:cs="仿宋_GB2312"/>
          <w:bCs/>
          <w:color w:val="000000"/>
          <w:sz w:val="32"/>
          <w:szCs w:val="32"/>
        </w:rPr>
        <w:t>提高技术、标准和质量水平以及品牌影响力，</w:t>
      </w:r>
      <w:r>
        <w:rPr>
          <w:rFonts w:hint="eastAsia" w:eastAsia="仿宋_GB2312"/>
          <w:color w:val="000000"/>
          <w:sz w:val="32"/>
          <w:szCs w:val="32"/>
        </w:rPr>
        <w:t>提高国际市场开拓能力和风险防范能力。</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优质课程体系</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宋体" w:eastAsia="仿宋_GB2312" w:cs="Arial"/>
          <w:sz w:val="32"/>
          <w:szCs w:val="32"/>
        </w:rPr>
      </w:pPr>
      <w:r>
        <w:rPr>
          <w:rFonts w:hint="eastAsia" w:ascii="仿宋_GB2312" w:hAnsi="仿宋_GB2312" w:eastAsia="仿宋_GB2312" w:cs="仿宋_GB2312"/>
          <w:sz w:val="32"/>
          <w:szCs w:val="32"/>
          <w:shd w:val="clear" w:color="auto" w:fill="FFFFFF"/>
        </w:rPr>
        <w:t>研修内容聚焦专精特新，致力于梯度培育，注重前瞻性、引领性和实效性。课程设置包括政策宣介、管理提升、融资辅导、数字化转型、企业家精神、知识产权、风险防范、市场开拓等，同时针对企业管理、为学员提供线上自学课程。</w:t>
      </w:r>
      <w:r>
        <w:rPr>
          <w:rFonts w:hint="eastAsia" w:ascii="仿宋_GB2312" w:hAnsi="宋体" w:eastAsia="仿宋_GB2312" w:cs="Arial"/>
          <w:sz w:val="32"/>
          <w:szCs w:val="32"/>
        </w:rPr>
        <w:t>每期培训将根据主题安排不同的模块内容。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pPr>
      <w:r>
        <w:rPr>
          <w:rFonts w:hint="eastAsia" w:ascii="仿宋_GB2312" w:hAnsi="宋体" w:eastAsia="仿宋_GB2312" w:cs="Arial"/>
          <w:sz w:val="32"/>
          <w:szCs w:val="32"/>
        </w:rPr>
        <w:t>研修班邀请相关部委和机构的专家，清华、人大、北航、北理工等高校知名学者，业内杰出企业专家以及著名金融证券机构、中小企业服务部门负责人等联袂授课。在形势分析、政策解读、理论知识与管理实践等方面均具有丰富的师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54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341" w:type="dxa"/>
            <w:shd w:val="clear" w:color="auto" w:fill="D7D7D7"/>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课程模块</w:t>
            </w:r>
          </w:p>
        </w:tc>
        <w:tc>
          <w:tcPr>
            <w:tcW w:w="5549" w:type="dxa"/>
            <w:shd w:val="clear" w:color="auto" w:fill="D7D7D7"/>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核心内容</w:t>
            </w:r>
          </w:p>
        </w:tc>
        <w:tc>
          <w:tcPr>
            <w:tcW w:w="1485" w:type="dxa"/>
            <w:shd w:val="clear" w:color="auto" w:fill="D7D7D7"/>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党建课程</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习近平新时代中国特色社会主义思想</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习近平经济思想与中国经济高质量发展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二十大精神解读</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党的百年奋斗历史</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政策宣介</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宏观经济形势与政策解读</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“专精特新”企业发展现状及政策解读</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战略新兴产业发展政策解读</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全球化背景下的企业国际化经营对策</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双碳背景下中小企业发展机遇与挑战</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专精特新企业参与共建“一带一路”新路径</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管理提升</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企业精益生产和质量管理体系建设</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工业设计赋能中小企业</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企业营销创新与品牌建设</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专业化企业科技创新的途径与机制</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商业模式创新</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企业战略提升与经营谋略</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座谈</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融资辅导</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北交所企业上市新政策与新机遇分析</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资本运作与企业投融资管理</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上市流程与中小企业上市辅导</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公司治理与股权激励制度</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专精特新中小企业资本市场之路</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数字化</w:t>
            </w:r>
            <w:r>
              <w:rPr>
                <w:rFonts w:hint="eastAsia" w:ascii="宋体" w:hAnsi="宋体" w:cs="宋体"/>
                <w:b/>
                <w:bCs/>
                <w:kern w:val="0"/>
                <w:sz w:val="24"/>
                <w:szCs w:val="24"/>
              </w:rPr>
              <w:br w:type="textWrapping"/>
            </w:r>
            <w:r>
              <w:rPr>
                <w:rFonts w:hint="eastAsia" w:ascii="宋体" w:hAnsi="宋体" w:cs="宋体"/>
                <w:b/>
                <w:bCs/>
                <w:kern w:val="0"/>
                <w:sz w:val="24"/>
                <w:szCs w:val="24"/>
              </w:rPr>
              <w:t>转型</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大数据时代下的互联网经济与商业模式</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数字时代的战略与领导力</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数字化时代的研发模式创新</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AI等未来科技对行业和企业的影响</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智能制造：助力专业化产品生产</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工业互联网赋能中小企业转型</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先进数字技术的发展前景与应用</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企业数字化转型成熟度贯标</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案例解析</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资源对接游学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知识产权赋能</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企业知识产权保护与反垄断问题</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企业知识产权标准化管理</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企业涉外知识产权管理</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知识产权运营与金融</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知识产权工具助力企业国际化发展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专精特新企业专利挖掘与布局</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案例解析</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风险防范</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企业劳动用工的合规管理及劳动争议预防</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企业法律风险规避</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企业国际化管理经营风险与防范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企业金融财务管理与风险防范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税务筹划和税务风险防范</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案例解析</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市场开拓</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跨境电商平台运营助力中小企业优质发展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联合国采购指南</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大数据助力海外市场开发</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国际市场维权指导</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国际市场开拓资源对接</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专精特新企业出海：从破局到成长</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资源对接</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cs="宋体"/>
                <w:b/>
                <w:bCs/>
                <w:kern w:val="0"/>
                <w:sz w:val="24"/>
                <w:szCs w:val="24"/>
              </w:rPr>
            </w:pPr>
            <w:r>
              <w:rPr>
                <w:rFonts w:hint="eastAsia" w:ascii="宋体" w:hAnsi="宋体" w:cs="宋体"/>
                <w:b/>
                <w:bCs/>
                <w:kern w:val="0"/>
                <w:sz w:val="24"/>
                <w:szCs w:val="24"/>
              </w:rPr>
              <w:t>企业家</w:t>
            </w:r>
            <w:r>
              <w:rPr>
                <w:rFonts w:hint="eastAsia" w:ascii="宋体" w:hAnsi="宋体" w:cs="宋体"/>
                <w:b/>
                <w:bCs/>
                <w:kern w:val="0"/>
                <w:sz w:val="24"/>
                <w:szCs w:val="24"/>
              </w:rPr>
              <w:br w:type="textWrapping"/>
            </w:r>
            <w:r>
              <w:rPr>
                <w:rFonts w:hint="eastAsia" w:ascii="宋体" w:hAnsi="宋体" w:cs="宋体"/>
                <w:b/>
                <w:bCs/>
                <w:kern w:val="0"/>
                <w:sz w:val="24"/>
                <w:szCs w:val="24"/>
              </w:rPr>
              <w:t>精神</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企业家精神——追求进步的驱动力</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企业成长与百年老店</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重塑管理者提升领导力</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《孙子兵法》与企业领导力提升</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集中授课</w:t>
            </w:r>
          </w:p>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41"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b/>
                <w:bCs/>
                <w:kern w:val="0"/>
                <w:sz w:val="24"/>
                <w:szCs w:val="24"/>
              </w:rPr>
            </w:pPr>
            <w:r>
              <w:rPr>
                <w:rFonts w:hint="eastAsia"/>
                <w:b/>
                <w:bCs/>
                <w:kern w:val="0"/>
                <w:sz w:val="24"/>
                <w:szCs w:val="24"/>
              </w:rPr>
              <w:t>线上课程</w:t>
            </w:r>
          </w:p>
        </w:tc>
        <w:tc>
          <w:tcPr>
            <w:tcW w:w="5549" w:type="dxa"/>
            <w:noWrap w:val="0"/>
            <w:tcMar>
              <w:top w:w="0" w:type="dxa"/>
              <w:left w:w="108" w:type="dxa"/>
              <w:bottom w:w="0" w:type="dxa"/>
              <w:right w:w="108" w:type="dxa"/>
            </w:tcMar>
            <w:vAlign w:val="center"/>
          </w:tcPr>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专精特新学堂（APP）</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hanging="22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数字化转型学习平台</w:t>
            </w:r>
          </w:p>
        </w:tc>
        <w:tc>
          <w:tcPr>
            <w:tcW w:w="1485" w:type="dxa"/>
            <w:noWrap w:val="0"/>
            <w:tcMar>
              <w:top w:w="0" w:type="dxa"/>
              <w:left w:w="108" w:type="dxa"/>
              <w:bottom w:w="0" w:type="dxa"/>
              <w:right w:w="108" w:type="dxa"/>
            </w:tcMar>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kern w:val="0"/>
                <w:sz w:val="24"/>
                <w:szCs w:val="24"/>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增值服务赋能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宋体" w:eastAsia="仿宋_GB2312" w:cs="Arial"/>
          <w:sz w:val="32"/>
          <w:szCs w:val="32"/>
        </w:rPr>
      </w:pPr>
      <w:r>
        <w:rPr>
          <w:rFonts w:hint="eastAsia" w:ascii="仿宋_GB2312" w:hAnsi="宋体" w:eastAsia="仿宋_GB2312" w:cs="Arial"/>
          <w:sz w:val="32"/>
          <w:szCs w:val="32"/>
        </w:rPr>
        <w:t>研修注重实效，将整合国内外政府、服务机构和优质企业资源，为企业提供专业化服务。</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hAnsi="仿宋_GB2312" w:eastAsia="仿宋_GB2312" w:cs="仿宋_GB2312"/>
          <w:color w:val="070707"/>
          <w:sz w:val="32"/>
          <w:szCs w:val="32"/>
        </w:rPr>
      </w:pPr>
      <w:r>
        <w:rPr>
          <w:rFonts w:hint="eastAsia" w:ascii="仿宋_GB2312" w:hAnsi="仿宋_GB2312" w:eastAsia="仿宋_GB2312" w:cs="仿宋_GB2312"/>
          <w:b/>
          <w:bCs/>
          <w:sz w:val="32"/>
          <w:szCs w:val="32"/>
        </w:rPr>
        <w:t>交流对接：</w:t>
      </w:r>
      <w:r>
        <w:rPr>
          <w:rFonts w:hint="eastAsia" w:ascii="仿宋_GB2312" w:hAnsi="仿宋_GB2312" w:eastAsia="仿宋_GB2312" w:cs="仿宋_GB2312"/>
          <w:sz w:val="32"/>
          <w:szCs w:val="32"/>
        </w:rPr>
        <w:t>组织学员团建拓展、</w:t>
      </w:r>
      <w:r>
        <w:rPr>
          <w:rFonts w:hint="eastAsia" w:ascii="仿宋_GB2312" w:hAnsi="仿宋_GB2312" w:eastAsia="仿宋_GB2312" w:cs="仿宋_GB2312"/>
          <w:color w:val="070707"/>
          <w:sz w:val="32"/>
          <w:szCs w:val="32"/>
        </w:rPr>
        <w:t>学员故事会、行业协会座谈、“小巨人”沙龙、导师顾问座谈会，帮助学员分享发展经验。</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pPr>
      <w:r>
        <w:rPr>
          <w:rFonts w:hint="eastAsia" w:ascii="仿宋_GB2312" w:hAnsi="仿宋_GB2312" w:eastAsia="仿宋_GB2312" w:cs="仿宋_GB2312"/>
          <w:b/>
          <w:bCs/>
          <w:sz w:val="32"/>
          <w:szCs w:val="32"/>
          <w:shd w:val="clear" w:color="auto" w:fill="FFFFFF"/>
        </w:rPr>
        <w:t>公益讲座：</w:t>
      </w:r>
      <w:r>
        <w:rPr>
          <w:rFonts w:hint="eastAsia" w:ascii="仿宋_GB2312" w:hAnsi="仿宋_GB2312" w:eastAsia="仿宋_GB2312" w:cs="仿宋_GB2312"/>
          <w:sz w:val="32"/>
          <w:szCs w:val="32"/>
          <w:shd w:val="clear" w:color="auto" w:fill="FFFFFF"/>
        </w:rPr>
        <w:t>共享中心以及合作单位的线上培育课程，聚焦学员共性话题和关注热点，不定期举行专家座谈交流会、法律咨询会等，帮助企业提升专业化水平和创新能力。</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诊断评估：</w:t>
      </w:r>
      <w:r>
        <w:rPr>
          <w:rFonts w:hint="eastAsia" w:ascii="仿宋_GB2312" w:hAnsi="仿宋_GB2312" w:eastAsia="仿宋_GB2312" w:cs="仿宋_GB2312"/>
          <w:color w:val="070707"/>
          <w:sz w:val="32"/>
          <w:szCs w:val="32"/>
        </w:rPr>
        <w:t>利用</w:t>
      </w:r>
      <w:r>
        <w:rPr>
          <w:rFonts w:hint="eastAsia" w:ascii="仿宋_GB2312" w:hAnsi="仿宋_GB2312" w:eastAsia="仿宋_GB2312" w:cs="仿宋_GB2312"/>
          <w:sz w:val="32"/>
          <w:szCs w:val="32"/>
        </w:rPr>
        <w:t>中小企业高质量发展诊断评估、优质中小企业上市智测、知识产权诊断工具（</w:t>
      </w:r>
      <w:r>
        <w:rPr>
          <w:rFonts w:eastAsia="仿宋_GB2312"/>
          <w:sz w:val="32"/>
          <w:szCs w:val="32"/>
        </w:rPr>
        <w:t>WIPO</w:t>
      </w:r>
      <w:r>
        <w:rPr>
          <w:rFonts w:hint="eastAsia" w:ascii="仿宋_GB2312" w:hAnsi="仿宋_GB2312" w:eastAsia="仿宋_GB2312" w:cs="仿宋_GB2312"/>
          <w:sz w:val="32"/>
          <w:szCs w:val="32"/>
        </w:rPr>
        <w:t>）、创新大脑等平台工具对企业发展情况进行系统评估分析，</w:t>
      </w:r>
      <w:r>
        <w:rPr>
          <w:rFonts w:hint="eastAsia" w:ascii="仿宋_GB2312" w:hAnsi="仿宋_GB2312" w:eastAsia="仿宋_GB2312" w:cs="仿宋_GB2312"/>
          <w:sz w:val="32"/>
          <w:szCs w:val="32"/>
          <w:shd w:val="clear" w:color="auto" w:fill="FFFFFF"/>
        </w:rPr>
        <w:t>帮助企业匹配咨询服务和提升方案，为企业提供全生命周期的服务。</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科技创新：</w:t>
      </w:r>
      <w:r>
        <w:rPr>
          <w:rFonts w:hint="eastAsia" w:ascii="仿宋_GB2312" w:hAnsi="仿宋_GB2312" w:eastAsia="仿宋_GB2312" w:cs="仿宋_GB2312"/>
          <w:sz w:val="32"/>
          <w:szCs w:val="32"/>
        </w:rPr>
        <w:t>组织科技创新问诊、科技创新成果路演及对接、领军企业进高校活动，</w:t>
      </w:r>
      <w:r>
        <w:rPr>
          <w:rFonts w:hint="eastAsia" w:ascii="仿宋_GB2312" w:hAnsi="宋体" w:eastAsia="仿宋_GB2312" w:cs="Arial"/>
          <w:sz w:val="32"/>
          <w:szCs w:val="32"/>
        </w:rPr>
        <w:t>对企业技术升级、技术改造创新的难题和需求给与规划和指导。</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数字化赋能：</w:t>
      </w:r>
      <w:r>
        <w:rPr>
          <w:rFonts w:hint="eastAsia" w:ascii="仿宋_GB2312" w:hAnsi="仿宋_GB2312" w:eastAsia="仿宋_GB2312" w:cs="仿宋_GB2312"/>
          <w:sz w:val="32"/>
          <w:szCs w:val="32"/>
        </w:rPr>
        <w:t>开展中小企业数字化转型成熟度评估。</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投融资服务：</w:t>
      </w:r>
      <w:r>
        <w:rPr>
          <w:rFonts w:hint="eastAsia" w:ascii="仿宋_GB2312" w:hAnsi="仿宋_GB2312" w:eastAsia="仿宋_GB2312" w:cs="仿宋_GB2312"/>
          <w:sz w:val="32"/>
          <w:szCs w:val="32"/>
          <w:shd w:val="clear" w:color="auto" w:fill="FFFFFF"/>
        </w:rPr>
        <w:t>利用中心融资服务大数据平台，帮助学员对接投融资机构，畅通融资渠道，降低融资成本。</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人才招聘：</w:t>
      </w:r>
      <w:r>
        <w:rPr>
          <w:rFonts w:hint="eastAsia" w:ascii="仿宋_GB2312" w:hAnsi="仿宋_GB2312" w:eastAsia="仿宋_GB2312" w:cs="仿宋_GB2312"/>
          <w:sz w:val="32"/>
          <w:szCs w:val="32"/>
          <w:shd w:val="clear" w:color="auto" w:fill="FFFFFF"/>
        </w:rPr>
        <w:t>为企业对接高校开展人才招聘、人才定制等提供帮助，解决企业人才难题。</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hAnsi="宋体" w:eastAsia="仿宋_GB2312" w:cs="Arial"/>
          <w:sz w:val="32"/>
          <w:szCs w:val="32"/>
        </w:rPr>
      </w:pPr>
      <w:r>
        <w:rPr>
          <w:rFonts w:hint="eastAsia" w:ascii="仿宋_GB2312" w:hAnsi="仿宋_GB2312" w:eastAsia="仿宋_GB2312" w:cs="仿宋_GB2312"/>
          <w:b/>
          <w:bCs/>
          <w:sz w:val="32"/>
          <w:szCs w:val="32"/>
        </w:rPr>
        <w:t>市场开拓：</w:t>
      </w:r>
      <w:r>
        <w:rPr>
          <w:rFonts w:hint="eastAsia" w:ascii="仿宋_GB2312" w:hAnsi="仿宋_GB2312" w:eastAsia="仿宋_GB2312" w:cs="仿宋_GB2312"/>
          <w:sz w:val="32"/>
          <w:szCs w:val="32"/>
          <w:shd w:val="clear" w:color="auto" w:fill="FFFFFF"/>
        </w:rPr>
        <w:t>利用中心涉外培训资源，帮助企业拓展国际市场。优先优惠参与中心组织的重大活动，</w:t>
      </w:r>
      <w:r>
        <w:rPr>
          <w:rFonts w:hint="eastAsia" w:ascii="仿宋_GB2312" w:hAnsi="宋体" w:eastAsia="仿宋_GB2312" w:cs="Arial"/>
          <w:sz w:val="32"/>
          <w:szCs w:val="32"/>
        </w:rPr>
        <w:t>如</w:t>
      </w:r>
      <w:r>
        <w:rPr>
          <w:rFonts w:eastAsia="仿宋_GB2312"/>
          <w:sz w:val="32"/>
          <w:szCs w:val="32"/>
        </w:rPr>
        <w:t>APEC中</w:t>
      </w:r>
      <w:r>
        <w:rPr>
          <w:rFonts w:hint="eastAsia" w:ascii="仿宋_GB2312" w:hAnsi="宋体" w:eastAsia="仿宋_GB2312" w:cs="Arial"/>
          <w:sz w:val="32"/>
          <w:szCs w:val="32"/>
        </w:rPr>
        <w:t>小企业技术交流暨展览会、中小企业国际合作高峰论坛、全国专精特新发展大会、</w:t>
      </w:r>
      <w:r>
        <w:rPr>
          <w:rFonts w:hint="eastAsia" w:ascii="仿宋_GB2312" w:hAnsi="仿宋_GB2312" w:eastAsia="仿宋_GB2312" w:cs="仿宋_GB2312"/>
          <w:color w:val="070707"/>
          <w:sz w:val="32"/>
          <w:szCs w:val="32"/>
        </w:rPr>
        <w:t>大中小企业融通对接活动</w:t>
      </w:r>
      <w:r>
        <w:rPr>
          <w:rFonts w:hint="eastAsia" w:ascii="仿宋_GB2312" w:hAnsi="宋体" w:eastAsia="仿宋_GB2312" w:cs="Arial"/>
          <w:sz w:val="32"/>
          <w:szCs w:val="32"/>
        </w:rPr>
        <w:t>等。</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pPr>
      <w:r>
        <w:rPr>
          <w:rFonts w:hint="eastAsia" w:ascii="仿宋_GB2312" w:hAnsi="仿宋_GB2312" w:eastAsia="仿宋_GB2312" w:cs="仿宋_GB2312"/>
          <w:b/>
          <w:bCs/>
          <w:sz w:val="32"/>
          <w:szCs w:val="32"/>
        </w:rPr>
        <w:t>游学考察：</w:t>
      </w:r>
      <w:r>
        <w:rPr>
          <w:rFonts w:hint="eastAsia" w:ascii="仿宋_GB2312" w:hAnsi="仿宋_GB2312" w:eastAsia="仿宋_GB2312" w:cs="仿宋_GB2312"/>
          <w:sz w:val="32"/>
          <w:szCs w:val="32"/>
        </w:rPr>
        <w:t>开展</w:t>
      </w:r>
      <w:r>
        <w:rPr>
          <w:rFonts w:hint="eastAsia" w:ascii="仿宋_GB2312" w:hAnsi="仿宋_GB2312" w:eastAsia="仿宋_GB2312" w:cs="仿宋_GB2312"/>
          <w:color w:val="070707"/>
          <w:sz w:val="32"/>
          <w:szCs w:val="32"/>
        </w:rPr>
        <w:t>典型案例现场教学、</w:t>
      </w:r>
      <w:r>
        <w:rPr>
          <w:rFonts w:hint="eastAsia" w:ascii="仿宋_GB2312" w:hAnsi="仿宋_GB2312" w:eastAsia="仿宋_GB2312" w:cs="仿宋_GB2312"/>
          <w:sz w:val="32"/>
          <w:szCs w:val="32"/>
        </w:rPr>
        <w:t>标杆企业参访，重点地区游学、</w:t>
      </w:r>
      <w:r>
        <w:rPr>
          <w:rFonts w:hint="eastAsia" w:ascii="仿宋_GB2312" w:hAnsi="宋体" w:eastAsia="仿宋_GB2312" w:cs="Arial"/>
          <w:sz w:val="32"/>
          <w:szCs w:val="32"/>
        </w:rPr>
        <w:t>赴境外（德国、日本）培训。</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hAnsi="宋体" w:eastAsia="仿宋_GB2312" w:cs="Arial"/>
          <w:sz w:val="32"/>
          <w:szCs w:val="32"/>
        </w:rPr>
      </w:pPr>
      <w:r>
        <w:rPr>
          <w:rFonts w:hint="eastAsia" w:ascii="仿宋_GB2312" w:hAnsi="宋体" w:eastAsia="仿宋_GB2312" w:cs="Arial"/>
          <w:b/>
          <w:bCs/>
          <w:sz w:val="32"/>
          <w:szCs w:val="32"/>
        </w:rPr>
        <w:t>推荐申报：</w:t>
      </w:r>
      <w:r>
        <w:rPr>
          <w:rFonts w:hint="eastAsia" w:ascii="仿宋_GB2312" w:hAnsi="仿宋_GB2312" w:eastAsia="仿宋_GB2312" w:cs="仿宋_GB2312"/>
          <w:sz w:val="32"/>
          <w:szCs w:val="32"/>
          <w:shd w:val="clear" w:color="auto" w:fill="FFFFFF"/>
        </w:rPr>
        <w:t>优先推荐符合条件的学员申报相关项目，如世界知识产权组织全球奖、国家知识产权局中国专利奖以及相关重大国际合作机制等。</w:t>
      </w:r>
    </w:p>
    <w:p>
      <w:pPr>
        <w:pStyle w:val="3"/>
        <w:keepNext w:val="0"/>
        <w:keepLines w:val="0"/>
        <w:pageBreakBefore w:val="0"/>
        <w:widowControl w:val="0"/>
        <w:kinsoku/>
        <w:wordWrap/>
        <w:overflowPunct/>
        <w:topLinePunct w:val="0"/>
        <w:autoSpaceDE/>
        <w:autoSpaceDN/>
        <w:bidi w:val="0"/>
        <w:adjustRightInd/>
        <w:snapToGrid/>
        <w:spacing w:after="0" w:line="540" w:lineRule="exact"/>
        <w:ind w:left="0" w:firstLine="642"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宣传推广：</w:t>
      </w:r>
      <w:r>
        <w:rPr>
          <w:rFonts w:hint="eastAsia" w:ascii="仿宋_GB2312" w:eastAsia="仿宋_GB2312"/>
          <w:sz w:val="32"/>
          <w:szCs w:val="32"/>
        </w:rPr>
        <w:t>利用</w:t>
      </w:r>
      <w:r>
        <w:rPr>
          <w:rFonts w:hint="eastAsia" w:ascii="仿宋_GB2312" w:hAnsi="宋体" w:eastAsia="仿宋_GB2312" w:cs="Arial"/>
          <w:sz w:val="32"/>
          <w:szCs w:val="32"/>
        </w:rPr>
        <w:t>中心对外宣传矩阵、</w:t>
      </w:r>
      <w:r>
        <w:rPr>
          <w:rFonts w:hint="eastAsia" w:ascii="仿宋_GB2312" w:eastAsia="仿宋_GB2312"/>
          <w:sz w:val="32"/>
          <w:szCs w:val="32"/>
        </w:rPr>
        <w:t>《中国中小企业》等平台帮助企业宣介及项目对接。</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学员管理</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firstLine="642" w:firstLineChars="200"/>
        <w:textAlignment w:val="auto"/>
        <w:rPr>
          <w:rFonts w:ascii="仿宋_GB2312" w:eastAsia="仿宋_GB2312"/>
          <w:b/>
          <w:bCs/>
          <w:sz w:val="32"/>
          <w:szCs w:val="32"/>
        </w:rPr>
      </w:pPr>
      <w:r>
        <w:rPr>
          <w:rFonts w:hint="eastAsia" w:ascii="仿宋_GB2312" w:eastAsia="仿宋_GB2312"/>
          <w:b/>
          <w:bCs/>
          <w:sz w:val="32"/>
          <w:szCs w:val="32"/>
        </w:rPr>
        <w:t>学员自治。</w:t>
      </w:r>
      <w:r>
        <w:rPr>
          <w:rFonts w:hint="eastAsia" w:ascii="仿宋_GB2312" w:eastAsia="仿宋_GB2312"/>
          <w:sz w:val="32"/>
          <w:szCs w:val="32"/>
        </w:rPr>
        <w:t>研修班配备班主任</w:t>
      </w:r>
      <w:r>
        <w:rPr>
          <w:rFonts w:hint="eastAsia" w:eastAsia="仿宋_GB2312"/>
          <w:sz w:val="32"/>
          <w:szCs w:val="32"/>
        </w:rPr>
        <w:t>1人，副班主任2-3</w:t>
      </w:r>
      <w:r>
        <w:rPr>
          <w:rFonts w:hint="eastAsia" w:ascii="仿宋_GB2312" w:eastAsia="仿宋_GB2312"/>
          <w:sz w:val="32"/>
          <w:szCs w:val="32"/>
        </w:rPr>
        <w:t>人，并成立班委会和学员小组，实现学员自治管理模式。</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firstLine="642" w:firstLineChars="200"/>
        <w:textAlignment w:val="auto"/>
      </w:pPr>
      <w:r>
        <w:rPr>
          <w:rFonts w:hint="eastAsia" w:ascii="仿宋_GB2312" w:eastAsia="仿宋_GB2312"/>
          <w:b/>
          <w:bCs/>
          <w:sz w:val="32"/>
          <w:szCs w:val="32"/>
        </w:rPr>
        <w:t>专业辅导。</w:t>
      </w:r>
      <w:r>
        <w:rPr>
          <w:rFonts w:hint="eastAsia" w:ascii="仿宋_GB2312" w:eastAsia="仿宋_GB2312"/>
          <w:sz w:val="32"/>
          <w:szCs w:val="32"/>
        </w:rPr>
        <w:t>邀请各地中小企业服务中心负责人、专家或优秀企业家担任研修班辅导员。</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firstLine="642" w:firstLineChars="200"/>
        <w:textAlignment w:val="auto"/>
      </w:pPr>
      <w:r>
        <w:rPr>
          <w:rFonts w:hint="eastAsia" w:ascii="仿宋_GB2312" w:eastAsia="仿宋_GB2312"/>
          <w:b/>
          <w:bCs/>
          <w:sz w:val="32"/>
          <w:szCs w:val="32"/>
        </w:rPr>
        <w:t>专人跟踪。</w:t>
      </w:r>
      <w:r>
        <w:rPr>
          <w:rFonts w:hint="eastAsia" w:ascii="仿宋_GB2312" w:eastAsia="仿宋_GB2312"/>
          <w:sz w:val="32"/>
          <w:szCs w:val="32"/>
        </w:rPr>
        <w:t>安排工作人员跟踪了解参训企业需求，回访培训意见。</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合作资源</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宋体" w:eastAsia="仿宋_GB2312" w:cs="Arial"/>
          <w:b/>
          <w:sz w:val="32"/>
          <w:szCs w:val="32"/>
        </w:rPr>
      </w:pPr>
      <w:r>
        <w:rPr>
          <w:rFonts w:hint="eastAsia" w:ascii="仿宋_GB2312" w:hAnsi="宋体" w:eastAsia="仿宋_GB2312" w:cs="Arial"/>
          <w:b/>
          <w:sz w:val="32"/>
          <w:szCs w:val="32"/>
        </w:rPr>
        <w:t>政策研究：</w:t>
      </w:r>
      <w:r>
        <w:rPr>
          <w:rFonts w:hint="eastAsia" w:ascii="仿宋_GB2312" w:hAnsi="宋体" w:eastAsia="仿宋_GB2312" w:cs="Arial"/>
          <w:bCs/>
          <w:sz w:val="32"/>
          <w:szCs w:val="32"/>
        </w:rPr>
        <w:t>各级地方中小企业主管部门、地方中小企业服务中心、相关部委下属事业单位及科研机构；工信部部属高校以及北京大学、</w:t>
      </w:r>
      <w:r>
        <w:rPr>
          <w:rFonts w:ascii="仿宋_GB2312" w:eastAsia="仿宋_GB2312"/>
          <w:sz w:val="32"/>
          <w:szCs w:val="32"/>
        </w:rPr>
        <w:t>中国人民大学</w:t>
      </w:r>
      <w:r>
        <w:rPr>
          <w:rFonts w:hint="eastAsia" w:ascii="仿宋_GB2312" w:eastAsia="仿宋_GB2312"/>
          <w:sz w:val="32"/>
          <w:szCs w:val="32"/>
        </w:rPr>
        <w:t>、</w:t>
      </w:r>
      <w:r>
        <w:rPr>
          <w:rFonts w:hint="eastAsia" w:ascii="仿宋_GB2312" w:hAnsi="宋体" w:eastAsia="仿宋_GB2312" w:cs="Arial"/>
          <w:bCs/>
          <w:sz w:val="32"/>
          <w:szCs w:val="32"/>
        </w:rPr>
        <w:t>浙江大学、北京交通大学、西安交通大学，北京师范大学、对外经贸大学、中国传媒大学、南京大学、广东工业大学等高校讲师。</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宋体" w:eastAsia="仿宋_GB2312" w:cs="Arial"/>
          <w:bCs/>
          <w:sz w:val="32"/>
          <w:szCs w:val="32"/>
        </w:rPr>
      </w:pPr>
      <w:r>
        <w:rPr>
          <w:rFonts w:hint="eastAsia" w:ascii="仿宋_GB2312" w:hAnsi="宋体" w:eastAsia="仿宋_GB2312" w:cs="Arial"/>
          <w:b/>
          <w:sz w:val="32"/>
          <w:szCs w:val="32"/>
        </w:rPr>
        <w:t>国际合作：</w:t>
      </w:r>
      <w:r>
        <w:rPr>
          <w:rFonts w:hint="eastAsia" w:ascii="仿宋_GB2312" w:hAnsi="宋体" w:eastAsia="仿宋_GB2312" w:cs="Arial"/>
          <w:bCs/>
          <w:sz w:val="32"/>
          <w:szCs w:val="32"/>
        </w:rPr>
        <w:t>联合国工业发展组织</w:t>
      </w:r>
      <w:r>
        <w:rPr>
          <w:rFonts w:hint="eastAsia" w:eastAsia="仿宋_GB2312"/>
          <w:bCs/>
          <w:sz w:val="32"/>
          <w:szCs w:val="32"/>
        </w:rPr>
        <w:t>（</w:t>
      </w:r>
      <w:r>
        <w:rPr>
          <w:rFonts w:eastAsia="仿宋_GB2312"/>
          <w:bCs/>
          <w:sz w:val="32"/>
          <w:szCs w:val="32"/>
        </w:rPr>
        <w:t>UNIDO</w:t>
      </w:r>
      <w:r>
        <w:rPr>
          <w:rFonts w:hint="eastAsia" w:eastAsia="仿宋_GB2312"/>
          <w:bCs/>
          <w:sz w:val="32"/>
          <w:szCs w:val="32"/>
        </w:rPr>
        <w:t>）</w:t>
      </w:r>
      <w:r>
        <w:rPr>
          <w:rFonts w:hint="eastAsia" w:ascii="仿宋_GB2312" w:hAnsi="宋体" w:eastAsia="仿宋_GB2312" w:cs="Arial"/>
          <w:bCs/>
          <w:sz w:val="32"/>
          <w:szCs w:val="32"/>
        </w:rPr>
        <w:t>、世界知识产权组织</w:t>
      </w:r>
      <w:r>
        <w:rPr>
          <w:rFonts w:hint="eastAsia" w:eastAsia="仿宋_GB2312"/>
          <w:bCs/>
          <w:sz w:val="32"/>
          <w:szCs w:val="32"/>
        </w:rPr>
        <w:t>（WIPO）、德国联邦中小企业协会、德国卡尔</w:t>
      </w:r>
      <w:r>
        <w:rPr>
          <w:rFonts w:eastAsia="仿宋_GB2312"/>
          <w:bCs/>
          <w:sz w:val="32"/>
          <w:szCs w:val="32"/>
        </w:rPr>
        <w:t>•杜伊斯堡公益中心</w:t>
      </w:r>
      <w:r>
        <w:rPr>
          <w:rFonts w:hint="eastAsia" w:eastAsia="仿宋_GB2312"/>
          <w:bCs/>
          <w:sz w:val="32"/>
          <w:szCs w:val="32"/>
        </w:rPr>
        <w:t>、日本价值协会、韩国中小企业振兴公团以及其他国际合作机制；援外培训受援国家代表；中外中小企业合作区；海外中小企业中心等。</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宋体" w:eastAsia="仿宋_GB2312" w:cs="Arial"/>
          <w:bCs/>
          <w:sz w:val="32"/>
          <w:szCs w:val="32"/>
        </w:rPr>
      </w:pPr>
      <w:r>
        <w:rPr>
          <w:rFonts w:hint="eastAsia" w:ascii="仿宋_GB2312" w:hAnsi="宋体" w:eastAsia="仿宋_GB2312" w:cs="Arial"/>
          <w:b/>
          <w:sz w:val="32"/>
          <w:szCs w:val="32"/>
        </w:rPr>
        <w:t>专业服务：</w:t>
      </w:r>
      <w:r>
        <w:rPr>
          <w:rFonts w:hint="eastAsia" w:ascii="仿宋_GB2312" w:hAnsi="宋体" w:eastAsia="仿宋_GB2312" w:cs="Arial"/>
          <w:bCs/>
          <w:sz w:val="32"/>
          <w:szCs w:val="32"/>
        </w:rPr>
        <w:t>国家级行业协会、中国技术交易所、上海技术交易所、深交所科技成果与知识产权交易中心、中国中小企业融资服务联盟、专精特新产业学院、德勤中国、阿里国际站、京东、金蝶、海尔、亚马逊、中国质量认证中心、大成律师事务所等。</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ascii="仿宋_GB2312" w:hAnsi="宋体" w:eastAsia="仿宋_GB2312" w:cs="Arial"/>
          <w:bCs/>
          <w:sz w:val="32"/>
          <w:szCs w:val="32"/>
        </w:rPr>
      </w:pPr>
      <w:r>
        <w:rPr>
          <w:rFonts w:hint="eastAsia" w:ascii="仿宋_GB2312" w:hAnsi="宋体" w:eastAsia="仿宋_GB2312" w:cs="Arial"/>
          <w:b/>
          <w:sz w:val="32"/>
          <w:szCs w:val="32"/>
        </w:rPr>
        <w:t>示范标杆企业：</w:t>
      </w:r>
      <w:r>
        <w:rPr>
          <w:rFonts w:hint="eastAsia" w:ascii="仿宋_GB2312" w:hAnsi="宋体" w:eastAsia="仿宋_GB2312" w:cs="Arial"/>
          <w:bCs/>
          <w:sz w:val="32"/>
          <w:szCs w:val="32"/>
        </w:rPr>
        <w:t>专精特新“小巨人”企业、制造业单项冠军企业等；中小企业特色产业集群、国家小型</w:t>
      </w:r>
      <w:r>
        <w:rPr>
          <w:rFonts w:ascii="仿宋_GB2312" w:hAnsi="宋体" w:eastAsia="仿宋_GB2312" w:cs="Arial"/>
          <w:bCs/>
          <w:sz w:val="32"/>
          <w:szCs w:val="32"/>
        </w:rPr>
        <w:t>微型企业创业创新示范基地</w:t>
      </w:r>
      <w:r>
        <w:rPr>
          <w:rFonts w:hint="eastAsia" w:ascii="仿宋_GB2312" w:hAnsi="宋体" w:eastAsia="仿宋_GB2312" w:cs="Arial"/>
          <w:bCs/>
          <w:sz w:val="32"/>
          <w:szCs w:val="32"/>
        </w:rPr>
        <w:t>等。</w:t>
      </w:r>
    </w:p>
    <w:p>
      <w:pPr>
        <w:keepNext w:val="0"/>
        <w:keepLines w:val="0"/>
        <w:pageBreakBefore w:val="0"/>
        <w:widowControl w:val="0"/>
        <w:kinsoku/>
        <w:wordWrap/>
        <w:overflowPunct/>
        <w:topLinePunct w:val="0"/>
        <w:autoSpaceDE/>
        <w:autoSpaceDN/>
        <w:bidi w:val="0"/>
        <w:adjustRightInd/>
        <w:snapToGrid/>
        <w:spacing w:line="540" w:lineRule="exact"/>
        <w:ind w:left="0" w:firstLine="642" w:firstLineChars="200"/>
        <w:textAlignment w:val="auto"/>
        <w:rPr>
          <w:rFonts w:hint="eastAsia" w:ascii="仿宋_GB2312" w:hAnsi="宋体" w:eastAsia="仿宋_GB2312" w:cs="Arial"/>
          <w:bCs/>
          <w:sz w:val="32"/>
          <w:szCs w:val="32"/>
        </w:rPr>
      </w:pPr>
      <w:r>
        <w:rPr>
          <w:rFonts w:hint="eastAsia" w:ascii="仿宋_GB2312" w:hAnsi="宋体" w:eastAsia="仿宋_GB2312" w:cs="Arial"/>
          <w:b/>
          <w:sz w:val="32"/>
          <w:szCs w:val="32"/>
        </w:rPr>
        <w:t>宣传媒体：</w:t>
      </w:r>
      <w:r>
        <w:rPr>
          <w:rFonts w:hint="eastAsia" w:ascii="仿宋_GB2312" w:hAnsi="宋体" w:eastAsia="仿宋_GB2312" w:cs="Arial"/>
          <w:bCs/>
          <w:sz w:val="32"/>
          <w:szCs w:val="32"/>
        </w:rPr>
        <w:t>中心媒体矩阵、《中国中小企业》杂志。</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val="en-US" w:eastAsia="zh-CN" w:bidi="ar-SA"/>
        </w:rPr>
        <w:t>八、</w:t>
      </w:r>
      <w:r>
        <w:rPr>
          <w:rFonts w:hint="eastAsia" w:ascii="黑体" w:hAnsi="黑体" w:eastAsia="黑体" w:cs="宋体"/>
          <w:kern w:val="0"/>
          <w:sz w:val="32"/>
          <w:szCs w:val="32"/>
        </w:rPr>
        <w:t>收费</w:t>
      </w:r>
      <w:r>
        <w:rPr>
          <w:rFonts w:hint="eastAsia" w:ascii="黑体" w:hAnsi="黑体" w:eastAsia="黑体" w:cs="宋体"/>
          <w:kern w:val="0"/>
          <w:sz w:val="32"/>
          <w:szCs w:val="32"/>
          <w:lang w:eastAsia="zh-CN"/>
        </w:rPr>
        <w:t>信息</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宋体" w:eastAsia="仿宋_GB2312" w:cs="Arial"/>
          <w:sz w:val="32"/>
          <w:szCs w:val="32"/>
        </w:rPr>
      </w:pPr>
      <w:r>
        <w:rPr>
          <w:rFonts w:hint="eastAsia" w:ascii="仿宋_GB2312" w:hAnsi="宋体" w:eastAsia="仿宋_GB2312" w:cs="Arial"/>
          <w:sz w:val="32"/>
          <w:szCs w:val="32"/>
        </w:rPr>
        <w:t>学员自筹费用请于</w:t>
      </w:r>
      <w:r>
        <w:rPr>
          <w:rFonts w:hint="eastAsia" w:eastAsia="仿宋_GB2312"/>
          <w:bCs/>
          <w:sz w:val="32"/>
          <w:szCs w:val="32"/>
        </w:rPr>
        <w:t>2024年</w:t>
      </w:r>
      <w:r>
        <w:rPr>
          <w:rFonts w:eastAsia="仿宋_GB2312"/>
          <w:bCs/>
          <w:sz w:val="32"/>
          <w:szCs w:val="32"/>
        </w:rPr>
        <w:t>3</w:t>
      </w:r>
      <w:r>
        <w:rPr>
          <w:rFonts w:hint="eastAsia" w:eastAsia="仿宋_GB2312"/>
          <w:bCs/>
          <w:sz w:val="32"/>
          <w:szCs w:val="32"/>
        </w:rPr>
        <w:t>月</w:t>
      </w:r>
      <w:r>
        <w:rPr>
          <w:rFonts w:hint="eastAsia" w:eastAsia="仿宋_GB2312"/>
          <w:bCs/>
          <w:sz w:val="32"/>
          <w:szCs w:val="32"/>
          <w:lang w:val="en-US" w:eastAsia="zh-CN"/>
        </w:rPr>
        <w:t>31</w:t>
      </w:r>
      <w:r>
        <w:rPr>
          <w:rFonts w:hint="eastAsia" w:ascii="仿宋_GB2312" w:hAnsi="宋体" w:eastAsia="仿宋_GB2312" w:cs="Arial"/>
          <w:sz w:val="32"/>
          <w:szCs w:val="32"/>
        </w:rPr>
        <w:t>日前汇至：</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宋体" w:eastAsia="仿宋_GB2312" w:cs="Arial"/>
          <w:sz w:val="32"/>
          <w:szCs w:val="32"/>
        </w:rPr>
      </w:pPr>
      <w:r>
        <w:rPr>
          <w:rFonts w:hint="eastAsia" w:ascii="仿宋_GB2312" w:hAnsi="宋体" w:eastAsia="仿宋_GB2312" w:cs="Arial"/>
          <w:sz w:val="32"/>
          <w:szCs w:val="32"/>
        </w:rPr>
        <w:t>单位：中国中小企业发展促进中心</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仿宋_GB2312" w:hAnsi="宋体" w:eastAsia="仿宋_GB2312" w:cs="Arial"/>
          <w:sz w:val="32"/>
          <w:szCs w:val="32"/>
        </w:rPr>
      </w:pPr>
      <w:r>
        <w:rPr>
          <w:rFonts w:hint="eastAsia" w:ascii="仿宋_GB2312" w:hAnsi="宋体" w:eastAsia="仿宋_GB2312" w:cs="Arial"/>
          <w:sz w:val="32"/>
          <w:szCs w:val="32"/>
        </w:rPr>
        <w:t>开户行：中国光大银行北京东城支行</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eastAsia="仿宋_GB2312"/>
          <w:bCs/>
          <w:sz w:val="32"/>
          <w:szCs w:val="32"/>
        </w:rPr>
      </w:pPr>
      <w:r>
        <w:rPr>
          <w:rFonts w:hint="eastAsia" w:ascii="仿宋_GB2312" w:hAnsi="宋体" w:eastAsia="仿宋_GB2312" w:cs="Arial"/>
          <w:sz w:val="32"/>
          <w:szCs w:val="32"/>
        </w:rPr>
        <w:t>账号：</w:t>
      </w:r>
      <w:r>
        <w:rPr>
          <w:rFonts w:hint="eastAsia" w:eastAsia="仿宋_GB2312"/>
          <w:bCs/>
          <w:sz w:val="32"/>
          <w:szCs w:val="32"/>
        </w:rPr>
        <w:t>7509 0188 0000 19671</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eastAsia="仿宋_GB2312"/>
          <w:bCs/>
          <w:sz w:val="32"/>
          <w:szCs w:val="32"/>
        </w:rPr>
      </w:pPr>
    </w:p>
    <w:p>
      <w:pPr>
        <w:keepNext w:val="0"/>
        <w:keepLines w:val="0"/>
        <w:pageBreakBefore w:val="0"/>
        <w:kinsoku/>
        <w:wordWrap/>
        <w:overflowPunct/>
        <w:topLinePunct w:val="0"/>
        <w:autoSpaceDE/>
        <w:autoSpaceDN/>
        <w:bidi w:val="0"/>
        <w:adjustRightInd/>
        <w:spacing w:line="560" w:lineRule="exact"/>
        <w:ind w:left="0"/>
        <w:jc w:val="center"/>
        <w:textAlignment w:val="auto"/>
        <w:rPr>
          <w:rFonts w:ascii="黑体" w:hAnsi="黑体" w:eastAsia="黑体"/>
          <w:sz w:val="36"/>
          <w:szCs w:val="28"/>
        </w:rPr>
      </w:pPr>
      <w:r>
        <w:rPr>
          <w:rFonts w:hint="eastAsia" w:ascii="黑体" w:hAnsi="黑体" w:eastAsia="黑体"/>
          <w:sz w:val="36"/>
          <w:szCs w:val="28"/>
        </w:rPr>
        <w:t>中小企业经营管理领军人才高质量发展培训项目</w:t>
      </w:r>
    </w:p>
    <w:p>
      <w:pPr>
        <w:keepNext w:val="0"/>
        <w:keepLines w:val="0"/>
        <w:pageBreakBefore w:val="0"/>
        <w:kinsoku/>
        <w:wordWrap/>
        <w:overflowPunct/>
        <w:topLinePunct w:val="0"/>
        <w:autoSpaceDE/>
        <w:autoSpaceDN/>
        <w:bidi w:val="0"/>
        <w:adjustRightInd/>
        <w:spacing w:line="560" w:lineRule="exact"/>
        <w:ind w:left="0"/>
        <w:jc w:val="center"/>
        <w:textAlignment w:val="auto"/>
        <w:rPr>
          <w:rFonts w:ascii="黑体" w:hAnsi="黑体" w:eastAsia="黑体"/>
          <w:sz w:val="36"/>
          <w:szCs w:val="28"/>
        </w:rPr>
      </w:pPr>
      <w:r>
        <w:rPr>
          <w:rFonts w:hint="eastAsia" w:ascii="黑体" w:hAnsi="黑体" w:eastAsia="黑体"/>
          <w:sz w:val="36"/>
          <w:szCs w:val="28"/>
        </w:rPr>
        <w:t>学员选拔标准</w:t>
      </w:r>
    </w:p>
    <w:p>
      <w:pPr>
        <w:keepNext w:val="0"/>
        <w:keepLines w:val="0"/>
        <w:pageBreakBefore w:val="0"/>
        <w:kinsoku/>
        <w:wordWrap/>
        <w:overflowPunct/>
        <w:topLinePunct w:val="0"/>
        <w:autoSpaceDE/>
        <w:autoSpaceDN/>
        <w:bidi w:val="0"/>
        <w:adjustRightInd/>
        <w:spacing w:line="560" w:lineRule="exact"/>
        <w:ind w:left="0"/>
        <w:jc w:val="center"/>
        <w:textAlignment w:val="auto"/>
        <w:rPr>
          <w:rFonts w:ascii="黑体" w:hAnsi="黑体" w:eastAsia="黑体"/>
          <w:sz w:val="36"/>
          <w:szCs w:val="28"/>
        </w:rPr>
      </w:pP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eastAsia="仿宋_GB2312"/>
          <w:sz w:val="32"/>
          <w:szCs w:val="28"/>
        </w:rPr>
      </w:pPr>
      <w:r>
        <w:rPr>
          <w:rFonts w:hint="eastAsia" w:ascii="仿宋_GB2312" w:eastAsia="仿宋_GB2312"/>
          <w:sz w:val="32"/>
          <w:szCs w:val="28"/>
        </w:rPr>
        <w:t>中小企业经营管理领军人才是指在各行业领域具有代表性、引领性且所在企业发展潜力较大的中小企业经营管理者。具体来说，应满足以下条件：</w:t>
      </w:r>
    </w:p>
    <w:p>
      <w:pPr>
        <w:keepNext w:val="0"/>
        <w:keepLines w:val="0"/>
        <w:pageBreakBefore w:val="0"/>
        <w:kinsoku/>
        <w:wordWrap/>
        <w:overflowPunct/>
        <w:topLinePunct w:val="0"/>
        <w:autoSpaceDE/>
        <w:autoSpaceDN/>
        <w:bidi w:val="0"/>
        <w:adjustRightInd/>
        <w:snapToGrid/>
        <w:spacing w:line="556" w:lineRule="exact"/>
        <w:ind w:left="0"/>
        <w:textAlignment w:val="auto"/>
        <w:rPr>
          <w:rFonts w:hint="eastAsia" w:ascii="方正黑体简体" w:hAnsi="方正黑体简体" w:eastAsia="方正黑体简体" w:cs="方正黑体简体"/>
          <w:b w:val="0"/>
          <w:bCs/>
          <w:sz w:val="32"/>
          <w:szCs w:val="28"/>
        </w:rPr>
      </w:pPr>
      <w:r>
        <w:rPr>
          <w:rFonts w:hint="eastAsia" w:ascii="方正黑体简体" w:hAnsi="方正黑体简体" w:eastAsia="方正黑体简体" w:cs="方正黑体简体"/>
          <w:b w:val="0"/>
          <w:bCs/>
          <w:sz w:val="32"/>
          <w:szCs w:val="28"/>
        </w:rPr>
        <w:t xml:space="preserve">    一、基本条件</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eastAsia="仿宋_GB2312"/>
          <w:sz w:val="32"/>
          <w:szCs w:val="28"/>
        </w:rPr>
      </w:pPr>
      <w:r>
        <w:rPr>
          <w:rFonts w:hint="eastAsia" w:ascii="仿宋_GB2312" w:eastAsia="仿宋_GB2312"/>
          <w:sz w:val="32"/>
          <w:szCs w:val="28"/>
        </w:rPr>
        <w:t>所领导企业符合国家《中小企业划型标准规定》（工信部联企业</w:t>
      </w:r>
      <w:r>
        <w:rPr>
          <w:rFonts w:hint="eastAsia" w:ascii="仿宋_GB2312" w:hAnsi="仿宋_GB2312" w:eastAsia="仿宋_GB2312" w:cs="仿宋_GB2312"/>
          <w:sz w:val="32"/>
          <w:szCs w:val="28"/>
        </w:rPr>
        <w:t>〔</w:t>
      </w:r>
      <w:r>
        <w:rPr>
          <w:rFonts w:eastAsia="仿宋_GB2312"/>
          <w:sz w:val="32"/>
          <w:szCs w:val="28"/>
        </w:rPr>
        <w:t>2011</w:t>
      </w:r>
      <w:r>
        <w:rPr>
          <w:rFonts w:hint="eastAsia" w:ascii="仿宋_GB2312" w:hAnsi="仿宋_GB2312" w:eastAsia="仿宋_GB2312" w:cs="仿宋_GB2312"/>
          <w:sz w:val="32"/>
          <w:szCs w:val="28"/>
        </w:rPr>
        <w:t>〕</w:t>
      </w:r>
      <w:r>
        <w:rPr>
          <w:rFonts w:eastAsia="仿宋_GB2312"/>
          <w:sz w:val="32"/>
          <w:szCs w:val="28"/>
        </w:rPr>
        <w:t>300号</w:t>
      </w:r>
      <w:r>
        <w:rPr>
          <w:rFonts w:hint="eastAsia" w:ascii="仿宋_GB2312" w:eastAsia="仿宋_GB2312"/>
          <w:sz w:val="32"/>
          <w:szCs w:val="28"/>
        </w:rPr>
        <w:t>）中的中小企业划型标准规定。</w:t>
      </w:r>
    </w:p>
    <w:p>
      <w:pPr>
        <w:keepNext w:val="0"/>
        <w:keepLines w:val="0"/>
        <w:pageBreakBefore w:val="0"/>
        <w:kinsoku/>
        <w:wordWrap/>
        <w:overflowPunct/>
        <w:topLinePunct w:val="0"/>
        <w:autoSpaceDE/>
        <w:autoSpaceDN/>
        <w:bidi w:val="0"/>
        <w:adjustRightInd/>
        <w:snapToGrid/>
        <w:spacing w:line="556" w:lineRule="exact"/>
        <w:ind w:left="0"/>
        <w:textAlignment w:val="auto"/>
        <w:rPr>
          <w:rFonts w:hint="eastAsia" w:ascii="方正黑体简体" w:hAnsi="方正黑体简体" w:eastAsia="方正黑体简体" w:cs="方正黑体简体"/>
          <w:b w:val="0"/>
          <w:bCs/>
          <w:sz w:val="32"/>
          <w:szCs w:val="28"/>
        </w:rPr>
      </w:pPr>
      <w:r>
        <w:rPr>
          <w:rFonts w:hint="eastAsia" w:ascii="方正黑体简体" w:hAnsi="方正黑体简体" w:eastAsia="方正黑体简体" w:cs="方正黑体简体"/>
          <w:b w:val="0"/>
          <w:bCs/>
          <w:sz w:val="32"/>
          <w:szCs w:val="28"/>
        </w:rPr>
        <w:t xml:space="preserve">    二、学员标准</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color w:val="FF0000"/>
          <w:sz w:val="32"/>
          <w:szCs w:val="28"/>
        </w:rPr>
      </w:pPr>
      <w:r>
        <w:rPr>
          <w:rFonts w:hint="eastAsia" w:ascii="仿宋_GB2312" w:eastAsia="仿宋_GB2312"/>
          <w:sz w:val="32"/>
          <w:szCs w:val="28"/>
        </w:rPr>
        <w:t>（一）重点考虑企业第一负责人</w:t>
      </w:r>
      <w:r>
        <w:rPr>
          <w:rFonts w:hint="eastAsia" w:ascii="仿宋_GB2312" w:hAnsi="宋体" w:eastAsia="仿宋_GB2312"/>
          <w:sz w:val="32"/>
          <w:szCs w:val="28"/>
        </w:rPr>
        <w:t>，包括担任企业法人代表、董事长或总经理等职务。非企业第一负责人，须满足从事企业核心管理工作、带领重要科研团队等条件。</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cs="宋体"/>
          <w:kern w:val="0"/>
          <w:sz w:val="32"/>
          <w:szCs w:val="28"/>
        </w:rPr>
      </w:pPr>
      <w:r>
        <w:rPr>
          <w:rFonts w:hint="eastAsia" w:ascii="仿宋_GB2312" w:hAnsi="宋体" w:eastAsia="仿宋_GB2312"/>
          <w:sz w:val="32"/>
          <w:szCs w:val="28"/>
        </w:rPr>
        <w:t>（二）</w:t>
      </w:r>
      <w:r>
        <w:rPr>
          <w:rFonts w:hint="eastAsia" w:ascii="仿宋_GB2312" w:hAnsi="宋体" w:eastAsia="仿宋_GB2312" w:cs="宋体"/>
          <w:kern w:val="0"/>
          <w:sz w:val="32"/>
          <w:szCs w:val="28"/>
        </w:rPr>
        <w:t>企业家本人具有学习意识，有开放的管理理念和突出的创新创业精神。</w:t>
      </w:r>
    </w:p>
    <w:p>
      <w:pPr>
        <w:keepNext w:val="0"/>
        <w:keepLines w:val="0"/>
        <w:pageBreakBefore w:val="0"/>
        <w:widowControl/>
        <w:kinsoku/>
        <w:wordWrap/>
        <w:overflowPunct/>
        <w:topLinePunct w:val="0"/>
        <w:autoSpaceDE/>
        <w:autoSpaceDN/>
        <w:bidi w:val="0"/>
        <w:adjustRightInd/>
        <w:snapToGrid/>
        <w:spacing w:line="556" w:lineRule="exact"/>
        <w:ind w:left="0" w:firstLine="640" w:firstLineChars="200"/>
        <w:jc w:val="left"/>
        <w:textAlignment w:val="auto"/>
        <w:rPr>
          <w:rFonts w:ascii="仿宋_GB2312" w:hAnsi="宋体" w:eastAsia="仿宋_GB2312"/>
          <w:sz w:val="32"/>
          <w:szCs w:val="28"/>
        </w:rPr>
      </w:pPr>
      <w:r>
        <w:rPr>
          <w:rFonts w:hint="eastAsia" w:ascii="仿宋_GB2312" w:hAnsi="宋体" w:eastAsia="仿宋_GB2312"/>
          <w:sz w:val="32"/>
          <w:szCs w:val="28"/>
        </w:rPr>
        <w:t>（三）企业家本人重视经营团队建设，能够作为核心人物凝聚一支稳定的经营管理和科研生产团队，形成独特的企业文化。</w:t>
      </w:r>
    </w:p>
    <w:p>
      <w:pPr>
        <w:keepNext w:val="0"/>
        <w:keepLines w:val="0"/>
        <w:pageBreakBefore w:val="0"/>
        <w:widowControl/>
        <w:kinsoku/>
        <w:wordWrap/>
        <w:overflowPunct/>
        <w:topLinePunct w:val="0"/>
        <w:autoSpaceDE/>
        <w:autoSpaceDN/>
        <w:bidi w:val="0"/>
        <w:adjustRightInd/>
        <w:snapToGrid/>
        <w:spacing w:line="556" w:lineRule="exact"/>
        <w:ind w:left="0" w:firstLine="640" w:firstLineChars="200"/>
        <w:jc w:val="left"/>
        <w:textAlignment w:val="auto"/>
        <w:rPr>
          <w:rFonts w:ascii="仿宋_GB2312" w:hAnsi="宋体" w:eastAsia="仿宋_GB2312"/>
          <w:sz w:val="32"/>
          <w:szCs w:val="28"/>
        </w:rPr>
      </w:pPr>
      <w:r>
        <w:rPr>
          <w:rFonts w:hint="eastAsia" w:ascii="仿宋_GB2312" w:hAnsi="宋体" w:eastAsia="仿宋_GB2312"/>
          <w:sz w:val="32"/>
          <w:szCs w:val="28"/>
        </w:rPr>
        <w:t>（四）企业家本人有较强的社会责任感，</w:t>
      </w:r>
      <w:r>
        <w:rPr>
          <w:rFonts w:ascii="仿宋_GB2312" w:hAnsi="宋体" w:eastAsia="仿宋_GB2312"/>
          <w:sz w:val="32"/>
          <w:szCs w:val="28"/>
        </w:rPr>
        <w:t>开展社会服务活动</w:t>
      </w:r>
      <w:r>
        <w:rPr>
          <w:rFonts w:hint="eastAsia" w:ascii="仿宋_GB2312" w:hAnsi="宋体" w:eastAsia="仿宋_GB2312"/>
          <w:sz w:val="32"/>
          <w:szCs w:val="28"/>
        </w:rPr>
        <w:t>，</w:t>
      </w:r>
      <w:r>
        <w:rPr>
          <w:rFonts w:ascii="仿宋_GB2312" w:hAnsi="宋体" w:eastAsia="仿宋_GB2312"/>
          <w:sz w:val="32"/>
          <w:szCs w:val="28"/>
        </w:rPr>
        <w:t>以实际行动履行企业</w:t>
      </w:r>
      <w:r>
        <w:rPr>
          <w:rFonts w:hint="eastAsia" w:ascii="仿宋_GB2312" w:hAnsi="宋体" w:eastAsia="仿宋_GB2312"/>
          <w:sz w:val="32"/>
          <w:szCs w:val="28"/>
        </w:rPr>
        <w:t>家</w:t>
      </w:r>
      <w:r>
        <w:rPr>
          <w:rFonts w:ascii="仿宋_GB2312" w:hAnsi="宋体" w:eastAsia="仿宋_GB2312"/>
          <w:sz w:val="32"/>
          <w:szCs w:val="28"/>
        </w:rPr>
        <w:t>的社会责任</w:t>
      </w:r>
      <w:r>
        <w:rPr>
          <w:rFonts w:hint="eastAsia" w:ascii="仿宋_GB2312" w:hAnsi="宋体" w:eastAsia="仿宋_GB2312"/>
          <w:sz w:val="32"/>
          <w:szCs w:val="28"/>
        </w:rPr>
        <w:t>。</w:t>
      </w:r>
    </w:p>
    <w:p>
      <w:pPr>
        <w:keepNext w:val="0"/>
        <w:keepLines w:val="0"/>
        <w:pageBreakBefore w:val="0"/>
        <w:kinsoku/>
        <w:wordWrap/>
        <w:overflowPunct/>
        <w:topLinePunct w:val="0"/>
        <w:autoSpaceDE/>
        <w:autoSpaceDN/>
        <w:bidi w:val="0"/>
        <w:adjustRightInd/>
        <w:snapToGrid/>
        <w:spacing w:line="556" w:lineRule="exact"/>
        <w:ind w:left="0"/>
        <w:textAlignment w:val="auto"/>
        <w:rPr>
          <w:rFonts w:hint="eastAsia" w:ascii="方正黑体简体" w:hAnsi="方正黑体简体" w:eastAsia="方正黑体简体" w:cs="方正黑体简体"/>
          <w:b w:val="0"/>
          <w:bCs/>
          <w:sz w:val="32"/>
          <w:szCs w:val="28"/>
        </w:rPr>
      </w:pPr>
      <w:r>
        <w:rPr>
          <w:rFonts w:hint="eastAsia" w:ascii="方正黑体简体" w:hAnsi="方正黑体简体" w:eastAsia="方正黑体简体" w:cs="方正黑体简体"/>
          <w:b w:val="0"/>
          <w:bCs/>
          <w:sz w:val="32"/>
          <w:szCs w:val="28"/>
        </w:rPr>
        <w:t xml:space="preserve">    三、学员企业标准</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cs="Arial"/>
          <w:sz w:val="32"/>
          <w:szCs w:val="32"/>
        </w:rPr>
      </w:pPr>
      <w:r>
        <w:rPr>
          <w:rFonts w:hint="eastAsia" w:ascii="仿宋_GB2312" w:hAnsi="宋体" w:eastAsia="仿宋_GB2312"/>
          <w:sz w:val="32"/>
          <w:szCs w:val="28"/>
        </w:rPr>
        <w:t>(一)公共服务机构要求：</w:t>
      </w:r>
      <w:r>
        <w:rPr>
          <w:rFonts w:ascii="仿宋_GB2312" w:hAnsi="宋体" w:eastAsia="仿宋_GB2312" w:cs="Arial"/>
          <w:sz w:val="32"/>
          <w:szCs w:val="32"/>
        </w:rPr>
        <w:t>应具有独立的法人资格；拥有独立的工作场所及与所提供服务相适应的条件和设施；大专及以上学历专业服务人员的比例不低于</w:t>
      </w:r>
      <w:r>
        <w:rPr>
          <w:rFonts w:eastAsia="仿宋_GB2312"/>
          <w:sz w:val="32"/>
          <w:szCs w:val="28"/>
        </w:rPr>
        <w:t>50%；</w:t>
      </w:r>
      <w:r>
        <w:rPr>
          <w:rFonts w:ascii="仿宋_GB2312" w:hAnsi="宋体" w:eastAsia="仿宋_GB2312" w:cs="Arial"/>
          <w:sz w:val="32"/>
          <w:szCs w:val="32"/>
        </w:rPr>
        <w:t>具有较强的专业服务和组织社会资源能力；管理制度健全，经营行为规范，收费合理，服务内容、流程、标准、收费和时间能做到“五公开”；服务收入占营业额的比例不低于</w:t>
      </w:r>
      <w:r>
        <w:rPr>
          <w:rFonts w:eastAsia="仿宋_GB2312"/>
          <w:sz w:val="32"/>
          <w:szCs w:val="28"/>
        </w:rPr>
        <w:t>50%</w:t>
      </w:r>
      <w:r>
        <w:rPr>
          <w:rFonts w:ascii="仿宋_GB2312" w:hAnsi="宋体" w:eastAsia="仿宋_GB2312" w:cs="Arial"/>
          <w:sz w:val="32"/>
          <w:szCs w:val="32"/>
        </w:rPr>
        <w:t>。</w:t>
      </w:r>
      <w:r>
        <w:rPr>
          <w:rFonts w:hint="eastAsia" w:ascii="仿宋_GB2312" w:hAnsi="宋体" w:eastAsia="仿宋_GB2312" w:cs="Arial"/>
          <w:sz w:val="32"/>
          <w:szCs w:val="32"/>
        </w:rPr>
        <w:t>企业应具有良好的公众形象，近三年内未发生违规行为。优先考虑国家级中小企业公共服务示范平台。</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sz w:val="32"/>
          <w:szCs w:val="28"/>
        </w:rPr>
      </w:pPr>
      <w:r>
        <w:rPr>
          <w:rFonts w:hint="eastAsia" w:ascii="仿宋_GB2312" w:hAnsi="宋体" w:eastAsia="仿宋_GB2312"/>
          <w:sz w:val="32"/>
          <w:szCs w:val="28"/>
        </w:rPr>
        <w:t>（二）学员企业发展潜力大、成长性好、创新能力强、就业容纳多、市场份额等指标保持增长</w:t>
      </w:r>
      <w:r>
        <w:rPr>
          <w:rFonts w:hint="eastAsia" w:ascii="仿宋_GB2312" w:hAnsi="宋体" w:eastAsia="仿宋_GB2312" w:cs="宋体"/>
          <w:kern w:val="0"/>
          <w:sz w:val="32"/>
          <w:szCs w:val="28"/>
        </w:rPr>
        <w:t>。</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sz w:val="32"/>
          <w:szCs w:val="28"/>
        </w:rPr>
      </w:pPr>
      <w:r>
        <w:rPr>
          <w:rFonts w:hint="eastAsia" w:ascii="仿宋_GB2312" w:hAnsi="宋体" w:eastAsia="仿宋_GB2312"/>
          <w:sz w:val="32"/>
          <w:szCs w:val="28"/>
        </w:rPr>
        <w:t>（三）重点考虑企业所处行业符合</w:t>
      </w:r>
      <w:r>
        <w:rPr>
          <w:rFonts w:ascii="仿宋_GB2312" w:hAnsi="宋体" w:eastAsia="仿宋_GB2312"/>
          <w:sz w:val="32"/>
          <w:szCs w:val="28"/>
        </w:rPr>
        <w:t>《工业转型升级规划（</w:t>
      </w:r>
      <w:r>
        <w:rPr>
          <w:rFonts w:eastAsia="仿宋_GB2312"/>
          <w:sz w:val="32"/>
          <w:szCs w:val="28"/>
        </w:rPr>
        <w:t>2011-2015</w:t>
      </w:r>
      <w:r>
        <w:rPr>
          <w:rFonts w:ascii="仿宋_GB2312" w:hAnsi="宋体" w:eastAsia="仿宋_GB2312"/>
          <w:sz w:val="32"/>
          <w:szCs w:val="28"/>
        </w:rPr>
        <w:t>年）》（国发</w:t>
      </w:r>
      <w:r>
        <w:rPr>
          <w:rFonts w:eastAsia="仿宋_GB2312"/>
          <w:sz w:val="32"/>
          <w:szCs w:val="28"/>
        </w:rPr>
        <w:t>[2011]47</w:t>
      </w:r>
      <w:r>
        <w:rPr>
          <w:rFonts w:ascii="仿宋_GB2312" w:hAnsi="宋体" w:eastAsia="仿宋_GB2312"/>
          <w:sz w:val="32"/>
          <w:szCs w:val="28"/>
        </w:rPr>
        <w:t>号</w:t>
      </w:r>
      <w:r>
        <w:rPr>
          <w:rFonts w:hint="eastAsia" w:ascii="仿宋_GB2312" w:hAnsi="宋体" w:eastAsia="仿宋_GB2312"/>
          <w:sz w:val="32"/>
          <w:szCs w:val="28"/>
        </w:rPr>
        <w:t>）要求，属于十大重点产业调整和振兴规划内的企业，拥有的技术、开发的产品或者提供的服务符合“专、精、特、新”的特点。</w:t>
      </w:r>
    </w:p>
    <w:p>
      <w:pPr>
        <w:keepNext w:val="0"/>
        <w:keepLines w:val="0"/>
        <w:pageBreakBefore w:val="0"/>
        <w:kinsoku/>
        <w:wordWrap/>
        <w:overflowPunct/>
        <w:topLinePunct w:val="0"/>
        <w:autoSpaceDE/>
        <w:autoSpaceDN/>
        <w:bidi w:val="0"/>
        <w:adjustRightInd/>
        <w:snapToGrid/>
        <w:spacing w:line="556" w:lineRule="exact"/>
        <w:ind w:left="0" w:firstLine="640" w:firstLineChars="200"/>
        <w:textAlignment w:val="auto"/>
        <w:rPr>
          <w:rFonts w:ascii="仿宋_GB2312" w:hAnsi="宋体" w:eastAsia="仿宋_GB2312" w:cs="宋体"/>
          <w:kern w:val="0"/>
          <w:sz w:val="32"/>
          <w:szCs w:val="28"/>
        </w:rPr>
      </w:pPr>
      <w:r>
        <w:rPr>
          <w:rFonts w:hint="eastAsia" w:ascii="仿宋_GB2312" w:hAnsi="宋体" w:eastAsia="仿宋_GB2312"/>
          <w:sz w:val="32"/>
          <w:szCs w:val="28"/>
        </w:rPr>
        <w:t>（四）所领导企业具有完善的管理制度，工业、软件、通讯等类型企业拥有核心技术，具备较强的自主创新能力和较为完善的创新管理</w:t>
      </w:r>
      <w:r>
        <w:rPr>
          <w:rFonts w:hint="eastAsia" w:ascii="仿宋_GB2312" w:hAnsi="宋体" w:eastAsia="仿宋_GB2312" w:cs="宋体"/>
          <w:kern w:val="0"/>
          <w:sz w:val="32"/>
          <w:szCs w:val="28"/>
        </w:rPr>
        <w:t>制度。</w:t>
      </w:r>
    </w:p>
    <w:p>
      <w:pPr>
        <w:keepNext w:val="0"/>
        <w:keepLines w:val="0"/>
        <w:pageBreakBefore w:val="0"/>
        <w:kinsoku/>
        <w:wordWrap/>
        <w:overflowPunct/>
        <w:topLinePunct w:val="0"/>
        <w:autoSpaceDE/>
        <w:autoSpaceDN/>
        <w:bidi w:val="0"/>
        <w:adjustRightInd/>
        <w:snapToGrid/>
        <w:spacing w:line="556" w:lineRule="exact"/>
        <w:ind w:left="0" w:firstLine="627" w:firstLineChars="196"/>
        <w:textAlignment w:val="auto"/>
        <w:rPr>
          <w:rFonts w:ascii="仿宋_GB2312" w:hAnsi="宋体" w:eastAsia="仿宋_GB2312"/>
          <w:sz w:val="32"/>
          <w:szCs w:val="28"/>
        </w:rPr>
      </w:pPr>
      <w:r>
        <w:rPr>
          <w:rFonts w:hint="eastAsia" w:ascii="仿宋_GB2312" w:hAnsi="宋体" w:eastAsia="仿宋_GB2312" w:cs="宋体"/>
          <w:kern w:val="0"/>
          <w:sz w:val="32"/>
          <w:szCs w:val="28"/>
        </w:rPr>
        <w:t>（五）具有良好的公众形象，能承担社会责任，</w:t>
      </w:r>
      <w:r>
        <w:rPr>
          <w:rFonts w:ascii="仿宋_GB2312" w:hAnsi="宋体" w:eastAsia="仿宋_GB2312"/>
          <w:sz w:val="32"/>
          <w:szCs w:val="28"/>
        </w:rPr>
        <w:t>信用良好</w:t>
      </w:r>
      <w:r>
        <w:rPr>
          <w:rFonts w:ascii="Arial" w:hAnsi="Arial" w:cs="Arial"/>
        </w:rPr>
        <w:t>；</w:t>
      </w:r>
      <w:r>
        <w:rPr>
          <w:rFonts w:hint="eastAsia" w:ascii="仿宋_GB2312" w:hAnsi="宋体" w:eastAsia="仿宋_GB2312"/>
          <w:sz w:val="32"/>
          <w:szCs w:val="28"/>
        </w:rPr>
        <w:t>所领导企业</w:t>
      </w:r>
      <w:r>
        <w:rPr>
          <w:rFonts w:hint="eastAsia" w:ascii="仿宋_GB2312" w:hAnsi="宋体" w:eastAsia="仿宋_GB2312" w:cs="宋体"/>
          <w:kern w:val="0"/>
          <w:sz w:val="32"/>
          <w:szCs w:val="28"/>
        </w:rPr>
        <w:t>未涉足高污染行业或未涉及高污染项目，</w:t>
      </w:r>
      <w:r>
        <w:rPr>
          <w:rFonts w:hint="eastAsia" w:ascii="仿宋_GB2312" w:hAnsi="宋体" w:eastAsia="仿宋_GB2312"/>
          <w:sz w:val="32"/>
          <w:szCs w:val="28"/>
        </w:rPr>
        <w:t>连续3年未发生重大劳动争议等行为。</w:t>
      </w:r>
    </w:p>
    <w:p>
      <w:pPr>
        <w:keepNext w:val="0"/>
        <w:keepLines w:val="0"/>
        <w:pageBreakBefore w:val="0"/>
        <w:kinsoku/>
        <w:wordWrap/>
        <w:overflowPunct/>
        <w:topLinePunct w:val="0"/>
        <w:autoSpaceDE/>
        <w:autoSpaceDN/>
        <w:bidi w:val="0"/>
        <w:adjustRightInd/>
        <w:snapToGrid/>
        <w:spacing w:line="556" w:lineRule="exact"/>
        <w:ind w:left="0"/>
        <w:textAlignment w:val="auto"/>
        <w:rPr>
          <w:rFonts w:hint="eastAsia" w:ascii="方正黑体简体" w:hAnsi="方正黑体简体" w:eastAsia="方正黑体简体" w:cs="方正黑体简体"/>
          <w:b w:val="0"/>
          <w:bCs/>
          <w:sz w:val="32"/>
          <w:szCs w:val="28"/>
        </w:rPr>
      </w:pPr>
      <w:r>
        <w:rPr>
          <w:rFonts w:hint="eastAsia" w:ascii="方正黑体简体" w:hAnsi="方正黑体简体" w:eastAsia="方正黑体简体" w:cs="方正黑体简体"/>
          <w:b w:val="0"/>
          <w:bCs/>
          <w:sz w:val="32"/>
          <w:szCs w:val="28"/>
        </w:rPr>
        <w:t xml:space="preserve">    四、特殊考量情况</w:t>
      </w:r>
    </w:p>
    <w:p>
      <w:pPr>
        <w:keepNext w:val="0"/>
        <w:keepLines w:val="0"/>
        <w:pageBreakBefore w:val="0"/>
        <w:kinsoku/>
        <w:wordWrap/>
        <w:overflowPunct/>
        <w:topLinePunct w:val="0"/>
        <w:autoSpaceDE/>
        <w:autoSpaceDN/>
        <w:bidi w:val="0"/>
        <w:adjustRightInd/>
        <w:snapToGrid/>
        <w:spacing w:line="556" w:lineRule="exact"/>
        <w:ind w:left="0" w:firstLine="627" w:firstLineChars="196"/>
        <w:textAlignment w:val="auto"/>
        <w:rPr>
          <w:rFonts w:ascii="仿宋_GB2312" w:hAnsi="宋体" w:eastAsia="仿宋_GB2312" w:cs="宋体"/>
          <w:kern w:val="0"/>
          <w:sz w:val="32"/>
          <w:szCs w:val="28"/>
        </w:rPr>
      </w:pPr>
      <w:r>
        <w:rPr>
          <w:rFonts w:hint="eastAsia" w:ascii="仿宋_GB2312" w:hAnsi="宋体" w:eastAsia="仿宋_GB2312" w:cs="宋体"/>
          <w:kern w:val="0"/>
          <w:sz w:val="32"/>
          <w:szCs w:val="28"/>
        </w:rPr>
        <w:t>（一）所领导企业设立了基层党组织的优先考虑。</w:t>
      </w:r>
    </w:p>
    <w:p>
      <w:pPr>
        <w:keepNext w:val="0"/>
        <w:keepLines w:val="0"/>
        <w:pageBreakBefore w:val="0"/>
        <w:kinsoku/>
        <w:wordWrap/>
        <w:overflowPunct/>
        <w:topLinePunct w:val="0"/>
        <w:autoSpaceDE/>
        <w:autoSpaceDN/>
        <w:bidi w:val="0"/>
        <w:adjustRightInd/>
        <w:snapToGrid/>
        <w:spacing w:line="556" w:lineRule="exact"/>
        <w:ind w:left="0" w:firstLine="627" w:firstLineChars="196"/>
        <w:textAlignment w:val="auto"/>
        <w:rPr>
          <w:rFonts w:ascii="仿宋_GB2312" w:hAnsi="宋体" w:eastAsia="仿宋_GB2312" w:cs="宋体"/>
          <w:kern w:val="0"/>
          <w:sz w:val="32"/>
          <w:szCs w:val="28"/>
        </w:rPr>
      </w:pPr>
      <w:r>
        <w:rPr>
          <w:rFonts w:hint="eastAsia" w:ascii="仿宋_GB2312" w:hAnsi="宋体" w:eastAsia="仿宋_GB2312" w:cs="宋体"/>
          <w:kern w:val="0"/>
          <w:sz w:val="32"/>
          <w:szCs w:val="28"/>
        </w:rPr>
        <w:t>（二）西部及欠发达地区，对企业经济指标适度放宽。</w:t>
      </w:r>
    </w:p>
    <w:p>
      <w:pPr>
        <w:keepNext w:val="0"/>
        <w:keepLines w:val="0"/>
        <w:pageBreakBefore w:val="0"/>
        <w:kinsoku/>
        <w:wordWrap/>
        <w:overflowPunct/>
        <w:topLinePunct w:val="0"/>
        <w:autoSpaceDE/>
        <w:autoSpaceDN/>
        <w:bidi w:val="0"/>
        <w:adjustRightInd/>
        <w:snapToGrid/>
        <w:spacing w:line="556" w:lineRule="exact"/>
        <w:ind w:left="0" w:firstLine="627" w:firstLineChars="196"/>
        <w:textAlignment w:val="auto"/>
        <w:rPr>
          <w:rFonts w:hint="eastAsia" w:ascii="仿宋_GB2312" w:hAnsi="宋体" w:eastAsia="仿宋_GB2312" w:cs="宋体"/>
          <w:kern w:val="0"/>
          <w:sz w:val="32"/>
          <w:szCs w:val="28"/>
        </w:rPr>
      </w:pPr>
      <w:r>
        <w:rPr>
          <w:rFonts w:hint="eastAsia" w:ascii="仿宋_GB2312" w:hAnsi="宋体" w:eastAsia="仿宋_GB2312" w:cs="宋体"/>
          <w:kern w:val="0"/>
          <w:sz w:val="32"/>
          <w:szCs w:val="28"/>
        </w:rPr>
        <w:t>（三）对地方主管部门或机构推荐学员符合独立成班的情况，原则上可按照非企业第一负责人占全班学员比例不高于15%的标准执行。</w:t>
      </w:r>
    </w:p>
    <w:p>
      <w:pPr>
        <w:keepNext w:val="0"/>
        <w:keepLines w:val="0"/>
        <w:pageBreakBefore w:val="0"/>
        <w:kinsoku/>
        <w:wordWrap/>
        <w:overflowPunct/>
        <w:topLinePunct w:val="0"/>
        <w:autoSpaceDE/>
        <w:autoSpaceDN/>
        <w:bidi w:val="0"/>
        <w:adjustRightInd/>
        <w:spacing w:line="560" w:lineRule="exact"/>
        <w:ind w:left="0" w:firstLine="627" w:firstLineChars="196"/>
        <w:textAlignment w:val="auto"/>
        <w:rPr>
          <w:rFonts w:hint="eastAsia" w:ascii="仿宋_GB2312" w:hAnsi="宋体" w:eastAsia="仿宋_GB2312" w:cs="宋体"/>
          <w:kern w:val="0"/>
          <w:sz w:val="32"/>
          <w:szCs w:val="28"/>
        </w:rPr>
      </w:pPr>
    </w:p>
    <w:p>
      <w:pPr>
        <w:keepNext w:val="0"/>
        <w:keepLines w:val="0"/>
        <w:pageBreakBefore w:val="0"/>
        <w:tabs>
          <w:tab w:val="left" w:pos="7755"/>
        </w:tabs>
        <w:kinsoku/>
        <w:wordWrap/>
        <w:overflowPunct/>
        <w:topLinePunct w:val="0"/>
        <w:autoSpaceDE/>
        <w:autoSpaceDN/>
        <w:bidi w:val="0"/>
        <w:adjustRightInd/>
        <w:snapToGrid/>
        <w:spacing w:line="400" w:lineRule="exact"/>
        <w:ind w:left="0"/>
        <w:jc w:val="left"/>
        <w:textAlignment w:val="auto"/>
        <w:rPr>
          <w:rFonts w:hint="default" w:ascii="仿宋_GB2312" w:hAnsi="仿宋" w:eastAsia="仿宋_GB2312" w:cs="宋体"/>
          <w:kern w:val="0"/>
          <w:sz w:val="30"/>
          <w:szCs w:val="30"/>
          <w:lang w:val="en-US" w:eastAsia="zh-CN" w:bidi="ar-SA"/>
        </w:rPr>
      </w:pPr>
      <w:r>
        <w:rPr>
          <w:rFonts w:hint="eastAsia" w:ascii="仿宋_GB2312" w:hAnsi="仿宋" w:eastAsia="仿宋_GB2312" w:cs="宋体"/>
          <w:kern w:val="0"/>
          <w:sz w:val="30"/>
          <w:szCs w:val="30"/>
          <w:lang w:val="en-US" w:eastAsia="zh-CN" w:bidi="ar-SA"/>
        </w:rPr>
        <w:t>附件2：</w:t>
      </w:r>
    </w:p>
    <w:p>
      <w:pPr>
        <w:keepNext w:val="0"/>
        <w:keepLines w:val="0"/>
        <w:pageBreakBefore w:val="0"/>
        <w:tabs>
          <w:tab w:val="left" w:pos="7755"/>
        </w:tabs>
        <w:kinsoku/>
        <w:wordWrap/>
        <w:overflowPunct/>
        <w:topLinePunct w:val="0"/>
        <w:autoSpaceDE/>
        <w:autoSpaceDN/>
        <w:bidi w:val="0"/>
        <w:adjustRightInd/>
        <w:snapToGrid/>
        <w:spacing w:line="400" w:lineRule="exact"/>
        <w:ind w:left="0"/>
        <w:jc w:val="center"/>
        <w:textAlignment w:val="auto"/>
        <w:rPr>
          <w:rFonts w:hint="eastAsia" w:ascii="黑体" w:eastAsia="黑体"/>
          <w:color w:val="000000"/>
          <w:sz w:val="30"/>
          <w:szCs w:val="30"/>
        </w:rPr>
      </w:pPr>
      <w:r>
        <w:rPr>
          <w:rFonts w:hint="eastAsia" w:ascii="黑体" w:eastAsia="黑体"/>
          <w:color w:val="000000"/>
          <w:sz w:val="30"/>
          <w:szCs w:val="30"/>
        </w:rPr>
        <w:t>领 军 人 才 学 员 推 荐 表</w:t>
      </w:r>
    </w:p>
    <w:tbl>
      <w:tblPr>
        <w:tblStyle w:val="8"/>
        <w:tblpPr w:leftFromText="180" w:rightFromText="180" w:vertAnchor="text" w:horzAnchor="margin" w:tblpXSpec="center" w:tblpY="112"/>
        <w:tblW w:w="0" w:type="auto"/>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133"/>
        <w:gridCol w:w="462"/>
        <w:gridCol w:w="904"/>
        <w:gridCol w:w="392"/>
        <w:gridCol w:w="516"/>
        <w:gridCol w:w="48"/>
        <w:gridCol w:w="195"/>
        <w:gridCol w:w="412"/>
        <w:gridCol w:w="392"/>
        <w:gridCol w:w="149"/>
        <w:gridCol w:w="531"/>
        <w:gridCol w:w="247"/>
        <w:gridCol w:w="328"/>
        <w:gridCol w:w="368"/>
        <w:gridCol w:w="209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1487" w:type="dxa"/>
            <w:tcBorders>
              <w:top w:val="double" w:color="auto"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textAlignment w:val="auto"/>
              <w:rPr>
                <w:rFonts w:hint="eastAsia" w:ascii="宋体" w:hAnsi="宋体"/>
                <w:sz w:val="18"/>
                <w:szCs w:val="18"/>
              </w:rPr>
            </w:pPr>
            <w:r>
              <w:rPr>
                <w:rFonts w:hint="eastAsia" w:ascii="宋体" w:hAnsi="宋体"/>
                <w:sz w:val="18"/>
                <w:szCs w:val="18"/>
              </w:rPr>
              <w:t>姓    名</w:t>
            </w:r>
          </w:p>
        </w:tc>
        <w:tc>
          <w:tcPr>
            <w:tcW w:w="1499" w:type="dxa"/>
            <w:gridSpan w:val="3"/>
            <w:tcBorders>
              <w:top w:val="doub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151" w:type="dxa"/>
            <w:gridSpan w:val="4"/>
            <w:tcBorders>
              <w:top w:val="doub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性 别</w:t>
            </w:r>
          </w:p>
        </w:tc>
        <w:tc>
          <w:tcPr>
            <w:tcW w:w="804" w:type="dxa"/>
            <w:gridSpan w:val="2"/>
            <w:tcBorders>
              <w:top w:val="doub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p>
        </w:tc>
        <w:tc>
          <w:tcPr>
            <w:tcW w:w="680" w:type="dxa"/>
            <w:gridSpan w:val="2"/>
            <w:tcBorders>
              <w:top w:val="doub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r>
              <w:rPr>
                <w:rFonts w:hint="eastAsia" w:cs="Times New Roman"/>
                <w:sz w:val="18"/>
                <w:szCs w:val="18"/>
                <w:lang w:val="en-US" w:eastAsia="zh-CN" w:bidi="ar-SA"/>
              </w:rPr>
              <w:t>民族</w:t>
            </w:r>
          </w:p>
        </w:tc>
        <w:tc>
          <w:tcPr>
            <w:tcW w:w="943" w:type="dxa"/>
            <w:gridSpan w:val="3"/>
            <w:tcBorders>
              <w:top w:val="doub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p>
        </w:tc>
        <w:tc>
          <w:tcPr>
            <w:tcW w:w="2092" w:type="dxa"/>
            <w:vMerge w:val="restart"/>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照片</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87" w:type="dxa"/>
            <w:tcBorders>
              <w:top w:val="single" w:color="000000" w:sz="4" w:space="0"/>
              <w:left w:val="double" w:color="auto"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出生日期</w:t>
            </w:r>
          </w:p>
        </w:tc>
        <w:tc>
          <w:tcPr>
            <w:tcW w:w="149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15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手 机</w:t>
            </w:r>
          </w:p>
        </w:tc>
        <w:tc>
          <w:tcPr>
            <w:tcW w:w="2427"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vMerge w:val="continue"/>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87" w:type="dxa"/>
            <w:tcBorders>
              <w:top w:val="single" w:color="000000" w:sz="4" w:space="0"/>
              <w:left w:val="double" w:color="auto"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政治面貌</w:t>
            </w:r>
          </w:p>
        </w:tc>
        <w:tc>
          <w:tcPr>
            <w:tcW w:w="1499" w:type="dxa"/>
            <w:gridSpan w:val="3"/>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151" w:type="dxa"/>
            <w:gridSpan w:val="4"/>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电子邮件</w:t>
            </w:r>
          </w:p>
        </w:tc>
        <w:tc>
          <w:tcPr>
            <w:tcW w:w="2427" w:type="dxa"/>
            <w:gridSpan w:val="7"/>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vMerge w:val="continue"/>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1487" w:type="dxa"/>
            <w:tcBorders>
              <w:top w:val="single" w:color="000000" w:sz="4" w:space="0"/>
              <w:left w:val="double" w:color="auto"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现任职务</w:t>
            </w:r>
          </w:p>
        </w:tc>
        <w:tc>
          <w:tcPr>
            <w:tcW w:w="149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15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身份证号码</w:t>
            </w:r>
          </w:p>
        </w:tc>
        <w:tc>
          <w:tcPr>
            <w:tcW w:w="2427"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vMerge w:val="continue"/>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1487" w:type="dxa"/>
            <w:tcBorders>
              <w:top w:val="single" w:color="000000" w:sz="4" w:space="0"/>
              <w:left w:val="double" w:color="auto"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通讯地址</w:t>
            </w:r>
          </w:p>
        </w:tc>
        <w:tc>
          <w:tcPr>
            <w:tcW w:w="5077" w:type="dxa"/>
            <w:gridSpan w:val="14"/>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vMerge w:val="continue"/>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87" w:type="dxa"/>
            <w:tcBorders>
              <w:top w:val="single" w:color="000000" w:sz="4" w:space="0"/>
              <w:left w:val="double" w:color="auto" w:sz="4" w:space="0"/>
              <w:bottom w:val="single" w:color="000000" w:sz="4" w:space="0"/>
              <w:right w:val="single" w:color="000000" w:sz="4" w:space="0"/>
            </w:tcBorders>
            <w:noWrap w:val="0"/>
            <w:vAlign w:val="top"/>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管理经验年限</w:t>
            </w:r>
          </w:p>
        </w:tc>
        <w:tc>
          <w:tcPr>
            <w:tcW w:w="1499" w:type="dxa"/>
            <w:gridSpan w:val="3"/>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151" w:type="dxa"/>
            <w:gridSpan w:val="4"/>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办公电话</w:t>
            </w:r>
          </w:p>
        </w:tc>
        <w:tc>
          <w:tcPr>
            <w:tcW w:w="2427" w:type="dxa"/>
            <w:gridSpan w:val="7"/>
            <w:tcBorders>
              <w:top w:val="single" w:color="000000" w:sz="4" w:space="0"/>
              <w:left w:val="single" w:color="000000" w:sz="4" w:space="0"/>
              <w:bottom w:val="single" w:color="000000" w:sz="4" w:space="0"/>
              <w:right w:val="single" w:color="000000" w:sz="4" w:space="0"/>
            </w:tcBorders>
            <w:noWrap w:val="0"/>
            <w:vAlign w:val="top"/>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vMerge w:val="continue"/>
            <w:tcBorders>
              <w:top w:val="double" w:color="auto" w:sz="4" w:space="0"/>
              <w:left w:val="single" w:color="000000" w:sz="4" w:space="0"/>
              <w:bottom w:val="single" w:color="000000"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656" w:type="dxa"/>
            <w:gridSpan w:val="16"/>
            <w:tcBorders>
              <w:top w:val="single" w:color="000000" w:sz="4" w:space="0"/>
              <w:left w:val="double" w:color="auto" w:sz="4" w:space="0"/>
              <w:bottom w:val="single" w:color="000000" w:sz="4" w:space="0"/>
              <w:right w:val="double" w:color="auto" w:sz="4" w:space="0"/>
            </w:tcBorders>
            <w:shd w:val="clear" w:color="auto" w:fill="D9D9D9"/>
            <w:noWrap w:val="0"/>
            <w:vAlign w:val="top"/>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（教育背景（最高学历）</w:t>
            </w:r>
            <w:r>
              <w:rPr>
                <w:rFonts w:hint="eastAsia" w:cs="Times New Roman"/>
                <w:sz w:val="18"/>
                <w:szCs w:val="18"/>
                <w:lang w:val="en-US" w:eastAsia="zh-CN" w:bidi="ar-SA"/>
              </w:rPr>
              <w:tab/>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2082" w:type="dxa"/>
            <w:gridSpan w:val="3"/>
            <w:tcBorders>
              <w:top w:val="single" w:color="000000" w:sz="4" w:space="0"/>
              <w:left w:val="double" w:color="auto"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毕业院校</w:t>
            </w:r>
          </w:p>
        </w:tc>
        <w:tc>
          <w:tcPr>
            <w:tcW w:w="1860" w:type="dxa"/>
            <w:gridSpan w:val="4"/>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起止时间</w:t>
            </w:r>
          </w:p>
        </w:tc>
        <w:tc>
          <w:tcPr>
            <w:tcW w:w="2622" w:type="dxa"/>
            <w:gridSpan w:val="8"/>
            <w:tcBorders>
              <w:top w:val="single" w:color="000000" w:sz="4" w:space="0"/>
              <w:left w:val="single" w:color="000000" w:sz="4" w:space="0"/>
              <w:bottom w:val="single" w:color="000000" w:sz="4" w:space="0"/>
              <w:right w:val="single" w:color="000000"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专业</w:t>
            </w:r>
          </w:p>
        </w:tc>
        <w:tc>
          <w:tcPr>
            <w:tcW w:w="2092" w:type="dxa"/>
            <w:tcBorders>
              <w:top w:val="single" w:color="000000" w:sz="4" w:space="0"/>
              <w:left w:val="single" w:color="000000" w:sz="4" w:space="0"/>
              <w:bottom w:val="single" w:color="000000" w:sz="4" w:space="0"/>
              <w:right w:val="double" w:color="auto" w:sz="4" w:space="0"/>
            </w:tcBorders>
            <w:noWrap w:val="0"/>
            <w:vAlign w:val="bottom"/>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学历/学位</w:t>
            </w:r>
            <w:r>
              <w:rPr>
                <w:rFonts w:hint="eastAsia" w:cs="Times New Roman"/>
                <w:sz w:val="18"/>
                <w:szCs w:val="18"/>
                <w:lang w:val="en-US" w:eastAsia="zh-CN" w:bidi="ar-SA"/>
              </w:rPr>
              <w:tab/>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440" w:hRule="atLeast"/>
        </w:trPr>
        <w:tc>
          <w:tcPr>
            <w:tcW w:w="2082" w:type="dxa"/>
            <w:gridSpan w:val="3"/>
            <w:tcBorders>
              <w:top w:val="single" w:color="auto" w:sz="4" w:space="0"/>
              <w:left w:val="double" w:color="auto"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860" w:type="dxa"/>
            <w:gridSpan w:val="4"/>
            <w:tcBorders>
              <w:top w:val="single" w:color="auto" w:sz="4" w:space="0"/>
              <w:left w:val="single" w:color="000000" w:sz="4" w:space="0"/>
              <w:bottom w:val="single" w:color="000000" w:sz="4" w:space="0"/>
              <w:right w:val="single" w:color="000000" w:sz="4" w:space="0"/>
            </w:tcBorders>
            <w:noWrap w:val="0"/>
            <w:vAlign w:val="center"/>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622" w:type="dxa"/>
            <w:gridSpan w:val="8"/>
            <w:tcBorders>
              <w:top w:val="single" w:color="auto" w:sz="4" w:space="0"/>
              <w:left w:val="single" w:color="000000" w:sz="4" w:space="0"/>
              <w:bottom w:val="single" w:color="000000" w:sz="4" w:space="0"/>
              <w:right w:val="single" w:color="000000" w:sz="4" w:space="0"/>
            </w:tcBorders>
            <w:noWrap w:val="0"/>
            <w:vAlign w:val="top"/>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092" w:type="dxa"/>
            <w:tcBorders>
              <w:top w:val="single" w:color="auto" w:sz="4" w:space="0"/>
              <w:left w:val="single" w:color="000000" w:sz="4" w:space="0"/>
              <w:bottom w:val="single" w:color="000000" w:sz="4" w:space="0"/>
              <w:right w:val="double" w:color="auto" w:sz="4" w:space="0"/>
            </w:tcBorders>
            <w:noWrap w:val="0"/>
            <w:vAlign w:val="top"/>
          </w:tcPr>
          <w:p>
            <w:pPr>
              <w:pStyle w:val="15"/>
              <w:keepNext w:val="0"/>
              <w:keepLines w:val="0"/>
              <w:pageBreakBefore w:val="0"/>
              <w:tabs>
                <w:tab w:val="center" w:pos="777"/>
                <w:tab w:val="right" w:pos="1435"/>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656" w:type="dxa"/>
            <w:gridSpan w:val="16"/>
            <w:tcBorders>
              <w:top w:val="single" w:color="000000" w:sz="4" w:space="0"/>
              <w:left w:val="double" w:color="auto" w:sz="4" w:space="0"/>
              <w:bottom w:val="single" w:color="000000" w:sz="4" w:space="0"/>
              <w:right w:val="doub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企业情况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企业名称</w:t>
            </w:r>
          </w:p>
        </w:tc>
        <w:tc>
          <w:tcPr>
            <w:tcW w:w="292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p>
        </w:tc>
        <w:tc>
          <w:tcPr>
            <w:tcW w:w="13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是否上市</w:t>
            </w:r>
          </w:p>
        </w:tc>
        <w:tc>
          <w:tcPr>
            <w:tcW w:w="2788" w:type="dxa"/>
            <w:gridSpan w:val="3"/>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□是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88"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公司网址</w:t>
            </w:r>
          </w:p>
        </w:tc>
        <w:tc>
          <w:tcPr>
            <w:tcW w:w="7036" w:type="dxa"/>
            <w:gridSpan w:val="14"/>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917"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领军理由</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(可多选)</w:t>
            </w:r>
          </w:p>
        </w:tc>
        <w:tc>
          <w:tcPr>
            <w:tcW w:w="7036" w:type="dxa"/>
            <w:gridSpan w:val="14"/>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 行业排名、区域排名靠前； □  产品、服务、经营管理特色领先； □ 市场占有率高；□未来市场前景好； □ 高成长性□ 战略新兴产业；□ 其他方面。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所在区域</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 xml:space="preserve">     北京市</w:t>
            </w:r>
          </w:p>
        </w:tc>
        <w:tc>
          <w:tcPr>
            <w:tcW w:w="171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是否设立党组织</w:t>
            </w:r>
          </w:p>
        </w:tc>
        <w:tc>
          <w:tcPr>
            <w:tcW w:w="3566" w:type="dxa"/>
            <w:gridSpan w:val="5"/>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□是   □否</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20" w:type="dxa"/>
            <w:gridSpan w:val="2"/>
            <w:tcBorders>
              <w:top w:val="single" w:color="000000" w:sz="4" w:space="0"/>
              <w:left w:val="double" w:color="auto" w:sz="4" w:space="0"/>
              <w:bottom w:val="single" w:color="000000" w:sz="4" w:space="0"/>
              <w:right w:val="single" w:color="000000" w:sz="4" w:space="0"/>
              <w:tl2br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资产总额（万元）</w:t>
            </w:r>
          </w:p>
        </w:tc>
        <w:tc>
          <w:tcPr>
            <w:tcW w:w="171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年销售额（万元）</w:t>
            </w:r>
          </w:p>
        </w:tc>
        <w:tc>
          <w:tcPr>
            <w:tcW w:w="110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sz w:val="18"/>
                <w:szCs w:val="18"/>
              </w:rPr>
            </w:pPr>
            <w:r>
              <w:rPr>
                <w:rFonts w:hint="eastAsia" w:ascii="宋体" w:hAnsi="宋体"/>
                <w:sz w:val="18"/>
                <w:szCs w:val="18"/>
              </w:rPr>
              <w:t>员工人数（人）</w:t>
            </w:r>
          </w:p>
        </w:tc>
        <w:tc>
          <w:tcPr>
            <w:tcW w:w="2460" w:type="dxa"/>
            <w:gridSpan w:val="2"/>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sz w:val="18"/>
                <w:szCs w:val="18"/>
              </w:rPr>
            </w:pPr>
            <w:r>
              <w:rPr>
                <w:rFonts w:hint="eastAsia" w:ascii="宋体" w:hAnsi="宋体"/>
                <w:sz w:val="18"/>
                <w:szCs w:val="18"/>
              </w:rPr>
              <w:t>年利润增长率</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宋体" w:hAnsi="宋体"/>
                <w:sz w:val="18"/>
                <w:szCs w:val="18"/>
              </w:rPr>
            </w:pPr>
            <w:r>
              <w:rPr>
                <w:rFonts w:hint="eastAsia" w:ascii="宋体" w:hAnsi="宋体"/>
                <w:sz w:val="18"/>
                <w:szCs w:val="18"/>
              </w:rPr>
              <w:t>（与上一年比较）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r>
              <w:rPr>
                <w:rFonts w:hint="eastAsia" w:cs="Times New Roman"/>
                <w:sz w:val="18"/>
                <w:szCs w:val="18"/>
                <w:lang w:val="en-US" w:eastAsia="zh-CN" w:bidi="ar-SA"/>
              </w:rPr>
              <w:t>2023年</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712"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p>
        </w:tc>
        <w:tc>
          <w:tcPr>
            <w:tcW w:w="110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460" w:type="dxa"/>
            <w:gridSpan w:val="2"/>
            <w:tcBorders>
              <w:top w:val="single" w:color="000000" w:sz="4" w:space="0"/>
              <w:left w:val="single" w:color="000000" w:sz="4" w:space="0"/>
              <w:bottom w:val="single" w:color="000000" w:sz="4" w:space="0"/>
              <w:right w:val="double" w:color="auto"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97"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r>
              <w:rPr>
                <w:rFonts w:hint="eastAsia" w:cs="Times New Roman"/>
                <w:sz w:val="18"/>
                <w:szCs w:val="18"/>
                <w:lang w:val="en-US" w:eastAsia="zh-CN" w:bidi="ar-SA"/>
              </w:rPr>
              <w:t>2022年</w:t>
            </w:r>
          </w:p>
        </w:tc>
        <w:tc>
          <w:tcPr>
            <w:tcW w:w="175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1712"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cs="Times New Roman"/>
                <w:sz w:val="18"/>
                <w:szCs w:val="18"/>
                <w:lang w:val="en-US" w:eastAsia="zh-CN" w:bidi="ar-SA"/>
              </w:rPr>
            </w:pPr>
          </w:p>
        </w:tc>
        <w:tc>
          <w:tcPr>
            <w:tcW w:w="110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p>
        </w:tc>
        <w:tc>
          <w:tcPr>
            <w:tcW w:w="2460" w:type="dxa"/>
            <w:gridSpan w:val="2"/>
            <w:tcBorders>
              <w:top w:val="single" w:color="000000" w:sz="4" w:space="0"/>
              <w:left w:val="single" w:color="000000" w:sz="4" w:space="0"/>
              <w:bottom w:val="single" w:color="000000" w:sz="4" w:space="0"/>
              <w:right w:val="double" w:color="auto" w:sz="4" w:space="0"/>
            </w:tcBorders>
            <w:noWrap w:val="0"/>
            <w:vAlign w:val="top"/>
          </w:tcPr>
          <w:p>
            <w:pPr>
              <w:pStyle w:val="15"/>
              <w:keepNext w:val="0"/>
              <w:keepLines w:val="0"/>
              <w:pageBreakBefore w:val="0"/>
              <w:tabs>
                <w:tab w:val="left" w:pos="1488"/>
              </w:tabs>
              <w:kinsoku/>
              <w:wordWrap/>
              <w:overflowPunct/>
              <w:topLinePunct w:val="0"/>
              <w:autoSpaceDE/>
              <w:autoSpaceDN/>
              <w:bidi w:val="0"/>
              <w:adjustRightInd/>
              <w:snapToGrid/>
              <w:spacing w:line="400" w:lineRule="exact"/>
              <w:ind w:left="0"/>
              <w:jc w:val="left"/>
              <w:textAlignment w:val="auto"/>
              <w:rPr>
                <w:rFonts w:hint="eastAsia" w:cs="Times New Roman"/>
                <w:sz w:val="18"/>
                <w:szCs w:val="18"/>
                <w:lang w:val="en-US" w:eastAsia="zh-CN" w:bidi="ar-SA"/>
              </w:rPr>
            </w:pPr>
            <w:r>
              <w:rPr>
                <w:rFonts w:hint="eastAsia" w:cs="Times New Roman"/>
                <w:sz w:val="18"/>
                <w:szCs w:val="18"/>
                <w:lang w:val="en-US" w:eastAsia="zh-CN" w:bidi="ar-SA"/>
              </w:rPr>
              <w:tab/>
            </w:r>
            <w:r>
              <w:rPr>
                <w:rFonts w:hint="eastAsia" w:cs="Times New Roman"/>
                <w:sz w:val="18"/>
                <w:szCs w:val="18"/>
                <w:lang w:val="en-US" w:eastAsia="en-US" w:bidi="ar-SA"/>
              </w:rPr>
              <w:t>'</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企业简介（请说明主营业务）</w:t>
            </w:r>
          </w:p>
        </w:tc>
        <w:tc>
          <w:tcPr>
            <w:tcW w:w="7036" w:type="dxa"/>
            <w:gridSpan w:val="14"/>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656" w:type="dxa"/>
            <w:gridSpan w:val="16"/>
            <w:tcBorders>
              <w:top w:val="single" w:color="000000" w:sz="4" w:space="0"/>
              <w:left w:val="double" w:color="auto" w:sz="4" w:space="0"/>
              <w:bottom w:val="single" w:color="000000" w:sz="4" w:space="0"/>
              <w:right w:val="double" w:color="auto" w:sz="4" w:space="0"/>
            </w:tcBorders>
            <w:shd w:val="clear" w:color="auto" w:fill="D9D9D9"/>
            <w:noWrap w:val="0"/>
            <w:vAlign w:val="top"/>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社会职务（请列出你所担任的社会职务或其他兼职，如人大代表、政协委员，或在协会团体中担任的职务）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40" w:hRule="atLeast"/>
        </w:trPr>
        <w:tc>
          <w:tcPr>
            <w:tcW w:w="1620" w:type="dxa"/>
            <w:gridSpan w:val="2"/>
            <w:tcBorders>
              <w:top w:val="single" w:color="000000" w:sz="4" w:space="0"/>
              <w:left w:val="doub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团体</w:t>
            </w:r>
          </w:p>
        </w:tc>
        <w:tc>
          <w:tcPr>
            <w:tcW w:w="347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参加时间</w:t>
            </w:r>
          </w:p>
        </w:tc>
        <w:tc>
          <w:tcPr>
            <w:tcW w:w="3566" w:type="dxa"/>
            <w:gridSpan w:val="5"/>
            <w:tcBorders>
              <w:top w:val="single" w:color="000000" w:sz="4" w:space="0"/>
              <w:left w:val="single" w:color="000000" w:sz="4" w:space="0"/>
              <w:bottom w:val="single" w:color="000000"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职务</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rPr>
          <w:trHeight w:val="340" w:hRule="atLeast"/>
        </w:trPr>
        <w:tc>
          <w:tcPr>
            <w:tcW w:w="8656" w:type="dxa"/>
            <w:gridSpan w:val="16"/>
            <w:tcBorders>
              <w:top w:val="single" w:color="000000" w:sz="4" w:space="0"/>
              <w:left w:val="double" w:color="auto" w:sz="4" w:space="0"/>
              <w:bottom w:val="single" w:color="000000" w:sz="4" w:space="0"/>
              <w:right w:val="doub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sz w:val="18"/>
                <w:szCs w:val="18"/>
              </w:rPr>
            </w:pPr>
            <w:r>
              <w:rPr>
                <w:rFonts w:hint="eastAsia" w:ascii="宋体" w:hAnsi="宋体"/>
                <w:sz w:val="18"/>
                <w:szCs w:val="18"/>
              </w:rPr>
              <w:t>荣誉和奖励（企业和个人均可）</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1400" w:hRule="atLeast"/>
        </w:trPr>
        <w:tc>
          <w:tcPr>
            <w:tcW w:w="3894" w:type="dxa"/>
            <w:gridSpan w:val="6"/>
            <w:tcBorders>
              <w:top w:val="single" w:color="000000" w:sz="4" w:space="0"/>
              <w:left w:val="double" w:color="auto" w:sz="4" w:space="0"/>
              <w:bottom w:val="doub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企业（盖章）：</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日期： 年月日</w:t>
            </w:r>
          </w:p>
        </w:tc>
        <w:tc>
          <w:tcPr>
            <w:tcW w:w="4762" w:type="dxa"/>
            <w:gridSpan w:val="10"/>
            <w:tcBorders>
              <w:top w:val="single" w:color="000000" w:sz="4" w:space="0"/>
              <w:left w:val="single" w:color="000000" w:sz="4" w:space="0"/>
              <w:bottom w:val="double" w:color="auto" w:sz="4" w:space="0"/>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推荐理由：</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推荐单位：</w:t>
            </w:r>
          </w:p>
          <w:p>
            <w:pPr>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sz w:val="18"/>
                <w:szCs w:val="18"/>
              </w:rPr>
            </w:pPr>
            <w:r>
              <w:rPr>
                <w:rFonts w:hint="eastAsia" w:ascii="宋体" w:hAnsi="宋体"/>
                <w:sz w:val="18"/>
                <w:szCs w:val="18"/>
              </w:rPr>
              <w:t>日期：  年  月   日</w:t>
            </w:r>
          </w:p>
        </w:tc>
      </w:tr>
    </w:tbl>
    <w:p>
      <w:pPr>
        <w:keepNext w:val="0"/>
        <w:keepLines w:val="0"/>
        <w:pageBreakBefore w:val="0"/>
        <w:kinsoku/>
        <w:wordWrap/>
        <w:overflowPunct/>
        <w:topLinePunct w:val="0"/>
        <w:autoSpaceDE/>
        <w:autoSpaceDN/>
        <w:bidi w:val="0"/>
        <w:adjustRightInd/>
        <w:snapToGrid/>
        <w:spacing w:line="400" w:lineRule="exact"/>
        <w:ind w:left="0"/>
        <w:textAlignment w:val="auto"/>
        <w:rPr>
          <w:rStyle w:val="11"/>
          <w:rFonts w:hint="default" w:ascii="方正仿宋简体" w:eastAsia="方正仿宋简体"/>
          <w:b w:val="0"/>
          <w:color w:val="333333"/>
          <w:sz w:val="32"/>
          <w:szCs w:val="32"/>
          <w:lang w:val="en-US" w:eastAsia="zh-CN"/>
        </w:rPr>
      </w:pPr>
      <w:r>
        <w:rPr>
          <w:rFonts w:hint="eastAsia" w:ascii="宋体" w:hAnsi="宋体" w:cs="宋体"/>
          <w:sz w:val="18"/>
          <w:szCs w:val="18"/>
        </w:rPr>
        <w:t>注：1、此表为地方中小企业主管部门或培训机构推荐学员、领军人才项目办公室选拔学</w:t>
      </w:r>
      <w:r>
        <w:rPr>
          <w:rFonts w:hint="eastAsia" w:ascii="宋体" w:hAnsi="宋体" w:cs="宋体"/>
          <w:spacing w:val="-1"/>
          <w:sz w:val="18"/>
          <w:szCs w:val="18"/>
        </w:rPr>
        <w:t>员的重要材料，请</w:t>
      </w:r>
      <w:r>
        <w:rPr>
          <w:rFonts w:hint="eastAsia" w:ascii="宋体" w:hAnsi="宋体" w:cs="宋体"/>
          <w:spacing w:val="-2"/>
          <w:sz w:val="18"/>
          <w:szCs w:val="18"/>
        </w:rPr>
        <w:t>申请人保证本表所填信息真实完整；2、学员通过资格审核后，方能获准入学。</w:t>
      </w:r>
    </w:p>
    <w:sectPr>
      <w:footerReference r:id="rId3" w:type="default"/>
      <w:pgSz w:w="11906" w:h="16838"/>
      <w:pgMar w:top="1701" w:right="1559" w:bottom="1587"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569C5"/>
    <w:multiLevelType w:val="singleLevel"/>
    <w:tmpl w:val="851569C5"/>
    <w:lvl w:ilvl="0" w:tentative="0">
      <w:start w:val="1"/>
      <w:numFmt w:val="chineseCounting"/>
      <w:suff w:val="nothing"/>
      <w:lvlText w:val="%1、"/>
      <w:lvlJc w:val="left"/>
      <w:rPr>
        <w:rFonts w:hint="eastAsia"/>
      </w:rPr>
    </w:lvl>
  </w:abstractNum>
  <w:abstractNum w:abstractNumId="1">
    <w:nsid w:val="9B9C1B32"/>
    <w:multiLevelType w:val="singleLevel"/>
    <w:tmpl w:val="9B9C1B32"/>
    <w:lvl w:ilvl="0" w:tentative="0">
      <w:start w:val="2"/>
      <w:numFmt w:val="decimal"/>
      <w:suff w:val="space"/>
      <w:lvlText w:val="%1."/>
      <w:lvlJc w:val="left"/>
    </w:lvl>
  </w:abstractNum>
  <w:abstractNum w:abstractNumId="2">
    <w:nsid w:val="5CCD3B80"/>
    <w:multiLevelType w:val="singleLevel"/>
    <w:tmpl w:val="5CCD3B80"/>
    <w:lvl w:ilvl="0" w:tentative="0">
      <w:start w:val="1"/>
      <w:numFmt w:val="chineseCounting"/>
      <w:suff w:val="nothing"/>
      <w:lvlText w:val="（%1）"/>
      <w:lvlJc w:val="left"/>
      <w:rPr>
        <w:rFonts w:hint="eastAsia" w:ascii="仿宋_GB2312" w:hAnsi="仿宋_GB2312" w:eastAsia="仿宋_GB2312" w:cs="仿宋_GB2312"/>
        <w:b/>
        <w:bCs/>
        <w:sz w:val="32"/>
        <w:szCs w:val="32"/>
      </w:rPr>
    </w:lvl>
  </w:abstractNum>
  <w:abstractNum w:abstractNumId="3">
    <w:nsid w:val="77A83694"/>
    <w:multiLevelType w:val="singleLevel"/>
    <w:tmpl w:val="77A83694"/>
    <w:lvl w:ilvl="0" w:tentative="0">
      <w:start w:val="1"/>
      <w:numFmt w:val="bullet"/>
      <w:lvlText w:val=""/>
      <w:lvlJc w:val="left"/>
      <w:pPr>
        <w:ind w:left="420" w:hanging="420"/>
      </w:pPr>
      <w:rPr>
        <w:rFonts w:hint="default" w:ascii="Wingdings" w:hAnsi="Wingdings"/>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96D0B"/>
    <w:rsid w:val="001025BA"/>
    <w:rsid w:val="00190D24"/>
    <w:rsid w:val="00196D0B"/>
    <w:rsid w:val="00225072"/>
    <w:rsid w:val="00283C03"/>
    <w:rsid w:val="00402B7C"/>
    <w:rsid w:val="00426785"/>
    <w:rsid w:val="004C15A5"/>
    <w:rsid w:val="007D5EA8"/>
    <w:rsid w:val="009A5674"/>
    <w:rsid w:val="00B43C52"/>
    <w:rsid w:val="00BB0D14"/>
    <w:rsid w:val="00CB0B55"/>
    <w:rsid w:val="00D04003"/>
    <w:rsid w:val="00D3658A"/>
    <w:rsid w:val="00E65D98"/>
    <w:rsid w:val="2F3F6113"/>
    <w:rsid w:val="5FFA2F39"/>
    <w:rsid w:val="5FFDAA5E"/>
    <w:rsid w:val="A5F7DACF"/>
    <w:rsid w:val="AFCB3B02"/>
    <w:rsid w:val="B1FC273A"/>
    <w:rsid w:val="FA35B731"/>
    <w:rsid w:val="FBFF6B62"/>
    <w:rsid w:val="FE95AC97"/>
    <w:rsid w:val="FEF0F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outlineLvl w:val="2"/>
    </w:pPr>
    <w:rPr>
      <w:rFonts w:ascii="Times New Roman" w:hAnsi="Times New Roman"/>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Other|1"/>
    <w:basedOn w:val="1"/>
    <w:qFormat/>
    <w:uiPriority w:val="0"/>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42</Words>
  <Characters>246</Characters>
  <Lines>2</Lines>
  <Paragraphs>1</Paragraphs>
  <TotalTime>9</TotalTime>
  <ScaleCrop>false</ScaleCrop>
  <LinksUpToDate>false</LinksUpToDate>
  <CharactersWithSpaces>287</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2020-08-29T18:56:00Z</dcterms:created>
  <dc:creator>lenovo</dc:creator>
  <cp:lastModifiedBy>kylin</cp:lastModifiedBy>
  <cp:lastPrinted>2021-12-11T09:39:00Z</cp:lastPrinted>
  <dcterms:modified xsi:type="dcterms:W3CDTF">2024-02-26T10:16:07Z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