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val="en-US" w:eastAsia="zh-CN"/>
        </w:rPr>
        <w:t xml:space="preserve">天津市宝坻区机关事务服务中心  </w:t>
      </w:r>
      <w:r>
        <w:rPr>
          <w:rFonts w:hint="eastAsia" w:ascii="方正小标宋_GBK" w:eastAsia="方正小标宋_GBK"/>
          <w:sz w:val="52"/>
          <w:szCs w:val="52"/>
        </w:rPr>
        <w:t>绩效评价自评报告</w:t>
      </w:r>
    </w:p>
    <w:p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</w:t>
      </w:r>
      <w:r>
        <w:rPr>
          <w:rFonts w:hint="eastAsia" w:ascii="宋体" w:hAnsi="宋体"/>
          <w:sz w:val="32"/>
          <w:szCs w:val="32"/>
          <w:lang w:val="en-US" w:eastAsia="zh-CN"/>
        </w:rPr>
        <w:t>2022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2022年退役军人调资补助项目</w:t>
      </w:r>
      <w:r>
        <w:rPr>
          <w:rFonts w:hint="eastAsia" w:ascii="黑体" w:hAnsi="宋体" w:eastAsia="黑体" w:cs="Times New Roman"/>
          <w:sz w:val="36"/>
          <w:szCs w:val="36"/>
        </w:rPr>
        <w:t>自评报告</w:t>
      </w:r>
    </w:p>
    <w:p>
      <w:pPr>
        <w:pStyle w:val="6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</w:rPr>
        <w:t>一、</w:t>
      </w:r>
      <w:r>
        <w:rPr>
          <w:rFonts w:hint="eastAsia" w:ascii="黑体" w:hAnsi="宋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机关事务服务中心申报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2022年退役军人调资补助项目，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经财政局批复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指标文号（宝财社指〔2022〕97号），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2022年10月12日批复，均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符合退役士兵人员发放标准等相关规定。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项目绩效目标。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涉及退役军人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1人，属于劳务费。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计划实现的具体绩效目标为：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进一步提升工作人员干事创业的积极性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，构建高效顺畅的工作运行体系。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196" w:firstLine="321" w:firstLineChars="10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（三）项目资金申报相符性。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申报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1名，</w:t>
      </w:r>
      <w:r>
        <w:rPr>
          <w:rFonts w:hint="eastAsia" w:ascii="仿宋_GB2312" w:hAnsi="宋体" w:eastAsia="仿宋_GB2312"/>
          <w:sz w:val="32"/>
          <w:szCs w:val="32"/>
          <w:lang w:val="en" w:eastAsia="zh-CN"/>
        </w:rPr>
        <w:t>发放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1人调资。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二、项目实施及管理情况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（一）资金计划、到位及使用情况。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1、资金计划及到位。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0.79453万元，属于区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财政拨款，截止评价时点资金已全部到位，资金到位率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资金使用。按照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退役军人调资补助标准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支付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0.79453万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元，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资金开支范围涉及退役军人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1人，按照区退役军人事务局相关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标准及时进行了支付，支付合规合法，资金支付与预算相符。</w:t>
      </w:r>
    </w:p>
    <w:p>
      <w:pPr>
        <w:adjustRightInd w:val="0"/>
        <w:snapToGrid w:val="0"/>
        <w:spacing w:line="360" w:lineRule="auto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（二）项目财务管理情况。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1、严格贯彻落实《政府会计制度》、《政府会计准则》，确保预算资金的账务处理合理规范，真实反映部门资金使用情况。202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没有违反《政府会计制度》和《政府会计准则》的情况发生。项目严格执行财务管理制度、财务处理及时、会计核算规范。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2、严格预算执行，做到没有预算一律不得支出。依据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初确定预算资金使用方向，及时完成预算的上报工作。202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没有预算外支出事项。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3、常态化做好部门支出绩效工作。把《宝坻区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内部控制管理制度》贯穿于部门支出绩效工作的始终，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严格按照宝坻区机关事务服务中心内部控制手册（试行稿）进行风险管理，进一步规范业务行为，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并确保实际完成情况达到预期目标。</w:t>
      </w:r>
    </w:p>
    <w:p>
      <w:pPr>
        <w:adjustRightInd w:val="0"/>
        <w:snapToGrid w:val="0"/>
        <w:spacing w:line="360" w:lineRule="auto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（三）项目组织实施情况。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1、项目组织实施的依据。202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年按照宝坻区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退役军人事务局的</w:t>
      </w:r>
      <w:r>
        <w:rPr>
          <w:rFonts w:hint="eastAsia" w:ascii="仿宋_GB2312" w:hAnsi="宋体" w:eastAsia="仿宋_GB2312"/>
          <w:sz w:val="32"/>
          <w:szCs w:val="32"/>
        </w:rPr>
        <w:t>安排部署，结合我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中心</w:t>
      </w:r>
      <w:r>
        <w:rPr>
          <w:rFonts w:hint="eastAsia" w:ascii="仿宋_GB2312" w:hAnsi="宋体" w:eastAsia="仿宋_GB2312"/>
          <w:sz w:val="32"/>
          <w:szCs w:val="32"/>
        </w:rPr>
        <w:t>工作实际，组织实施了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2、项目组织实施的形式。通过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宝坻区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退役军人事务局、区区人社局、民生公司沟通协调，积极组织推进实施。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三、目标完成情况</w:t>
      </w:r>
      <w:r>
        <w:rPr>
          <w:rFonts w:hint="eastAsia" w:ascii="黑体" w:hAnsi="宋体" w:eastAsia="黑体"/>
          <w:color w:val="auto"/>
          <w:sz w:val="32"/>
          <w:szCs w:val="32"/>
        </w:rPr>
        <w:tab/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（一）目标任务量完成情况。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预算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0.79453元，用于支付1人调资补助，截止至评价时间2022年单位退役军人调资补助项目支付1人调资，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支付金额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0.79453元，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全部完成目标任务。</w:t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（二）目标质量完成情况。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工资发放符合合同规定，发放合规率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、及时率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目标进度完成情况。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2022年单位退役军人调资补助</w:t>
      </w:r>
      <w:r>
        <w:rPr>
          <w:rFonts w:hint="eastAsia" w:ascii="仿宋_GB2312" w:hAnsi="宋体" w:eastAsia="仿宋_GB2312"/>
          <w:sz w:val="32"/>
          <w:szCs w:val="32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年初预计</w:t>
      </w:r>
      <w:r>
        <w:rPr>
          <w:rFonts w:hint="eastAsia" w:ascii="仿宋_GB2312" w:hAnsi="宋体" w:eastAsia="仿宋_GB2312"/>
          <w:color w:val="auto"/>
          <w:sz w:val="32"/>
          <w:szCs w:val="32"/>
          <w:lang w:val="zh-CN"/>
        </w:rPr>
        <w:t>发放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1人，实际发放1人，目标进度完成100%。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四、项目效益情况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通过实施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2022年退役军人调资补助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，进一步提升了工作人员干事创业的积极性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，构建了高效顺畅的工作运行体系。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五、问题及建议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（一）存在的问题。</w:t>
      </w:r>
    </w:p>
    <w:p>
      <w:pPr>
        <w:pStyle w:val="2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" w:eastAsia="zh-CN" w:bidi="ar-SA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" w:eastAsia="zh-CN" w:bidi="ar-SA"/>
        </w:rPr>
        <w:t>无</w:t>
      </w:r>
    </w:p>
    <w:p>
      <w:pPr>
        <w:numPr>
          <w:ilvl w:val="0"/>
          <w:numId w:val="1"/>
        </w:numPr>
        <w:spacing w:line="360" w:lineRule="auto"/>
        <w:ind w:left="0" w:leftChars="0"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相关建议。</w:t>
      </w:r>
    </w:p>
    <w:p>
      <w:pPr>
        <w:numPr>
          <w:ilvl w:val="0"/>
          <w:numId w:val="0"/>
        </w:numPr>
        <w:spacing w:line="360" w:lineRule="auto"/>
        <w:ind w:leftChars="196"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无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0000FF"/>
          <w:sz w:val="32"/>
          <w:szCs w:val="32"/>
        </w:rPr>
      </w:pPr>
    </w:p>
    <w:p>
      <w:pPr>
        <w:rPr>
          <w:color w:val="0000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0DE9C"/>
    <w:multiLevelType w:val="singleLevel"/>
    <w:tmpl w:val="B710DE9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005717"/>
    <w:multiLevelType w:val="singleLevel"/>
    <w:tmpl w:val="64005717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BjYzNlNDRjOGFhMzhlYzQwMjNhOTNiOGViNDBjZjgifQ=="/>
  </w:docVars>
  <w:rsids>
    <w:rsidRoot w:val="00D6365B"/>
    <w:rsid w:val="0071292C"/>
    <w:rsid w:val="00D6365B"/>
    <w:rsid w:val="074D74D4"/>
    <w:rsid w:val="145819D1"/>
    <w:rsid w:val="14E14263"/>
    <w:rsid w:val="180B20EA"/>
    <w:rsid w:val="1ABA65D0"/>
    <w:rsid w:val="21026DD4"/>
    <w:rsid w:val="31F418C6"/>
    <w:rsid w:val="325E745F"/>
    <w:rsid w:val="36901B9C"/>
    <w:rsid w:val="37DB07F7"/>
    <w:rsid w:val="38F7398D"/>
    <w:rsid w:val="3DB72729"/>
    <w:rsid w:val="442C2C8A"/>
    <w:rsid w:val="4AD351BA"/>
    <w:rsid w:val="4E3C4D66"/>
    <w:rsid w:val="5056708F"/>
    <w:rsid w:val="53DACCB2"/>
    <w:rsid w:val="57AF48CD"/>
    <w:rsid w:val="5A7C11BA"/>
    <w:rsid w:val="5B264CA7"/>
    <w:rsid w:val="5DE47151"/>
    <w:rsid w:val="63F80A0C"/>
    <w:rsid w:val="66251962"/>
    <w:rsid w:val="7757163A"/>
    <w:rsid w:val="7AB93B25"/>
    <w:rsid w:val="7F4A6AF1"/>
    <w:rsid w:val="7F90761C"/>
    <w:rsid w:val="F7D351BE"/>
    <w:rsid w:val="FA6E5760"/>
    <w:rsid w:val="FEA3FBC2"/>
    <w:rsid w:val="FFDDB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1133</Words>
  <Characters>1226</Characters>
  <Lines>7</Lines>
  <Paragraphs>2</Paragraphs>
  <TotalTime>12</TotalTime>
  <ScaleCrop>false</ScaleCrop>
  <LinksUpToDate>false</LinksUpToDate>
  <CharactersWithSpaces>1230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2023-03-02T14:22:00Z</dcterms:created>
  <dc:creator>Administrator</dc:creator>
  <cp:lastModifiedBy>DELL</cp:lastModifiedBy>
  <dcterms:modified xsi:type="dcterms:W3CDTF">2023-06-20T01:20:42Z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EB2E02A2D64741D28F0258EF7B17013A</vt:lpwstr>
  </property>
</Properties>
</file>