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916882">
      <w:pPr>
        <w:jc w:val="center"/>
        <w:rPr>
          <w:rFonts w:hint="eastAsia" w:ascii="Times New Roman" w:hAnsi="Times New Roman" w:cs="Times New Roman"/>
          <w:b/>
          <w:color w:val="auto"/>
          <w:sz w:val="32"/>
          <w:szCs w:val="32"/>
        </w:rPr>
      </w:pPr>
      <w:r>
        <w:rPr>
          <w:rFonts w:hint="default" w:ascii="Times New Roman"/>
          <w:b/>
          <w:bCs/>
          <w:color w:val="auto"/>
          <w:sz w:val="32"/>
          <w:szCs w:val="32"/>
        </w:rPr>
        <w:t>党务工作者经费（市级）</w:t>
      </w:r>
      <w:r>
        <w:rPr>
          <w:rFonts w:hint="eastAsia" w:ascii="Times New Roman" w:hAnsi="Times New Roman" w:cs="Times New Roman"/>
          <w:b/>
          <w:color w:val="auto"/>
          <w:sz w:val="32"/>
          <w:szCs w:val="32"/>
        </w:rPr>
        <w:t>项目</w:t>
      </w:r>
    </w:p>
    <w:p w14:paraId="669E14E1">
      <w:pPr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  <w:r>
        <w:rPr>
          <w:rFonts w:ascii="Times New Roman" w:hAnsi="Times New Roman" w:cs="Times New Roman"/>
          <w:b/>
          <w:color w:val="auto"/>
          <w:sz w:val="32"/>
          <w:szCs w:val="32"/>
        </w:rPr>
        <w:t>202</w:t>
      </w:r>
      <w:r>
        <w:rPr>
          <w:rFonts w:hint="eastAsia" w:ascii="Times New Roman" w:hAnsi="Times New Roman" w:cs="Times New Roman"/>
          <w:b/>
          <w:color w:val="auto"/>
          <w:sz w:val="32"/>
          <w:szCs w:val="32"/>
          <w:lang w:val="en-US" w:eastAsia="zh-CN"/>
        </w:rPr>
        <w:t>3</w:t>
      </w:r>
      <w:r>
        <w:rPr>
          <w:rFonts w:ascii="Times New Roman" w:hAnsi="Times New Roman" w:cs="Times New Roman"/>
          <w:b/>
          <w:color w:val="auto"/>
          <w:sz w:val="32"/>
          <w:szCs w:val="32"/>
        </w:rPr>
        <w:t>年度</w:t>
      </w:r>
      <w:r>
        <w:rPr>
          <w:rFonts w:hint="eastAsia" w:ascii="Times New Roman" w:hAnsi="Times New Roman" w:cs="Times New Roman"/>
          <w:b/>
          <w:color w:val="auto"/>
          <w:sz w:val="32"/>
          <w:szCs w:val="32"/>
          <w:lang w:val="en-US" w:eastAsia="zh-CN"/>
        </w:rPr>
        <w:t>转移支付</w:t>
      </w:r>
      <w:r>
        <w:rPr>
          <w:rFonts w:ascii="Times New Roman" w:hAnsi="Times New Roman" w:cs="Times New Roman"/>
          <w:b/>
          <w:color w:val="auto"/>
          <w:sz w:val="32"/>
          <w:szCs w:val="32"/>
        </w:rPr>
        <w:t>绩效自评报告</w:t>
      </w:r>
    </w:p>
    <w:p w14:paraId="2DEA6C9F">
      <w:pPr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</w:p>
    <w:p w14:paraId="28A8F4B7">
      <w:pPr>
        <w:pStyle w:val="9"/>
        <w:numPr>
          <w:ilvl w:val="0"/>
          <w:numId w:val="1"/>
        </w:numPr>
        <w:ind w:firstLineChars="0"/>
        <w:jc w:val="left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绩效目标分解下达情况</w:t>
      </w:r>
    </w:p>
    <w:p w14:paraId="769E7DAC">
      <w:pPr>
        <w:pStyle w:val="9"/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ascii="Times New Roman" w:hAnsi="Times New Roman" w:cs="Times New Roman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auto"/>
          <w:sz w:val="28"/>
          <w:szCs w:val="28"/>
          <w:lang w:val="en-US" w:eastAsia="zh-CN"/>
        </w:rPr>
        <w:t xml:space="preserve">    1.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项目主要内容</w:t>
      </w:r>
      <w:r>
        <w:rPr>
          <w:rFonts w:hint="eastAsia" w:ascii="Times New Roman" w:hAnsi="Times New Roman" w:cs="Times New Roman"/>
          <w:b/>
          <w:bCs/>
          <w:color w:val="auto"/>
          <w:sz w:val="28"/>
          <w:szCs w:val="28"/>
          <w:lang w:val="en-US" w:eastAsia="zh-CN"/>
        </w:rPr>
        <w:t xml:space="preserve"> </w:t>
      </w:r>
    </w:p>
    <w:p w14:paraId="4F9416DC">
      <w:pPr>
        <w:pStyle w:val="9"/>
        <w:numPr>
          <w:ilvl w:val="0"/>
          <w:numId w:val="0"/>
        </w:numPr>
        <w:adjustRightInd w:val="0"/>
        <w:snapToGrid w:val="0"/>
        <w:spacing w:line="360" w:lineRule="auto"/>
        <w:ind w:firstLine="560" w:firstLineChars="200"/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为切实增强基层组织的战斗力、凝聚力和创造力，建设学习型、服务型、创新型基层组织，发挥党务工作者指导作用，按照上级文件精神要求，市区两级匹配资金用于党务工作者工资补助，保障党务工作者工资正常发放，促进党务人员尽职尽责，安心工作，全力以赴服务基层党组织。</w:t>
      </w:r>
    </w:p>
    <w:p w14:paraId="639E5F18">
      <w:pPr>
        <w:pStyle w:val="9"/>
        <w:numPr>
          <w:ilvl w:val="0"/>
          <w:numId w:val="2"/>
        </w:numPr>
        <w:adjustRightInd w:val="0"/>
        <w:snapToGrid w:val="0"/>
        <w:spacing w:line="360" w:lineRule="auto"/>
        <w:ind w:firstLine="560"/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实施情况</w:t>
      </w:r>
      <w:r>
        <w:rPr>
          <w:rFonts w:hint="eastAsia" w:ascii="Times New Roman" w:hAnsi="Times New Roman" w:cs="Times New Roman"/>
          <w:b/>
          <w:bCs/>
          <w:color w:val="auto"/>
          <w:sz w:val="28"/>
          <w:szCs w:val="28"/>
          <w:lang w:val="en-US" w:eastAsia="zh-CN"/>
        </w:rPr>
        <w:t xml:space="preserve">  </w:t>
      </w:r>
    </w:p>
    <w:p w14:paraId="2A9089F0">
      <w:pPr>
        <w:pStyle w:val="9"/>
        <w:numPr>
          <w:ilvl w:val="0"/>
          <w:numId w:val="0"/>
        </w:numPr>
        <w:adjustRightInd w:val="0"/>
        <w:snapToGrid w:val="0"/>
        <w:spacing w:line="360" w:lineRule="auto"/>
        <w:ind w:firstLine="560" w:firstLineChars="200"/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为建立稳定完善的专项经费监督管理机制，规范财政资金管理，确保专款专用和运行高效，保障人员工资及时发放，规定此项目资金由上级直接拨付乡镇财政，乡镇按时申请资金，确保工资到位。按照各岗位人员工资待遇执行标准足额拨付民生公司，民生公司按时发放到相关人员的银行卡中。</w:t>
      </w:r>
    </w:p>
    <w:p w14:paraId="5565EC7E">
      <w:pPr>
        <w:pStyle w:val="9"/>
        <w:numPr>
          <w:ilvl w:val="0"/>
          <w:numId w:val="2"/>
        </w:numPr>
        <w:adjustRightInd w:val="0"/>
        <w:snapToGrid w:val="0"/>
        <w:spacing w:line="360" w:lineRule="auto"/>
        <w:ind w:firstLine="560"/>
        <w:rPr>
          <w:rFonts w:hint="eastAsia"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实施主体</w:t>
      </w:r>
      <w:r>
        <w:rPr>
          <w:rFonts w:hint="eastAsia" w:ascii="Times New Roman" w:hAnsi="Times New Roman" w:cs="Times New Roman"/>
          <w:b/>
          <w:bCs/>
          <w:color w:val="auto"/>
          <w:sz w:val="28"/>
          <w:szCs w:val="28"/>
          <w:lang w:val="en-US" w:eastAsia="zh-CN"/>
        </w:rPr>
        <w:t xml:space="preserve">  </w:t>
      </w:r>
    </w:p>
    <w:p w14:paraId="1255A9EB">
      <w:pPr>
        <w:pStyle w:val="9"/>
        <w:numPr>
          <w:ilvl w:val="0"/>
          <w:numId w:val="0"/>
        </w:numPr>
        <w:adjustRightInd w:val="0"/>
        <w:snapToGrid w:val="0"/>
        <w:spacing w:line="360" w:lineRule="auto"/>
        <w:ind w:firstLine="560" w:firstLineChars="200"/>
        <w:rPr>
          <w:rFonts w:hint="eastAsia" w:ascii="Times New Roman" w:hAnsi="Times New Roman" w:cs="Times New Roman"/>
          <w:color w:val="auto"/>
          <w:sz w:val="28"/>
          <w:szCs w:val="28"/>
        </w:rPr>
      </w:pPr>
      <w:r>
        <w:rPr>
          <w:rFonts w:hint="eastAsia" w:ascii="Times New Roman" w:hAnsi="Times New Roman" w:cs="Times New Roman"/>
          <w:color w:val="auto"/>
          <w:sz w:val="28"/>
          <w:szCs w:val="28"/>
          <w:lang w:val="zh-CN" w:eastAsia="zh-CN"/>
        </w:rPr>
        <w:t>本</w:t>
      </w:r>
      <w:r>
        <w:rPr>
          <w:rFonts w:hint="eastAsia" w:ascii="Times New Roman" w:hAnsi="Times New Roman" w:cs="Times New Roman"/>
          <w:color w:val="auto"/>
          <w:sz w:val="28"/>
          <w:szCs w:val="28"/>
          <w:lang w:eastAsia="zh-CN"/>
        </w:rPr>
        <w:t>项目主管预算部门及项目实施主体为天津市宝坻区</w:t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zh-CN"/>
        </w:rPr>
        <w:t>牛道口镇</w:t>
      </w:r>
      <w:r>
        <w:rPr>
          <w:rFonts w:hint="eastAsia" w:ascii="Times New Roman" w:hAnsi="Times New Roman" w:cs="Times New Roman"/>
          <w:color w:val="auto"/>
          <w:sz w:val="28"/>
          <w:szCs w:val="28"/>
          <w:lang w:eastAsia="zh-CN"/>
        </w:rPr>
        <w:t>人民政府。</w:t>
      </w:r>
    </w:p>
    <w:p w14:paraId="0FCEA0EF">
      <w:pPr>
        <w:pStyle w:val="9"/>
        <w:numPr>
          <w:ilvl w:val="0"/>
          <w:numId w:val="2"/>
        </w:numPr>
        <w:adjustRightInd w:val="0"/>
        <w:snapToGrid w:val="0"/>
        <w:spacing w:line="360" w:lineRule="auto"/>
        <w:ind w:firstLine="560"/>
        <w:rPr>
          <w:rFonts w:hint="eastAsia" w:ascii="Times New Roman" w:hAnsi="Times New Roman" w:cs="Times New Roman"/>
          <w:color w:val="auto"/>
          <w:sz w:val="28"/>
          <w:szCs w:val="28"/>
          <w:lang w:eastAsia="zh-CN"/>
        </w:rPr>
      </w:pPr>
      <w:r>
        <w:rPr>
          <w:rFonts w:hint="eastAsia" w:ascii="Times New Roman" w:hAnsi="Times New Roman" w:cs="Times New Roman"/>
          <w:b/>
          <w:bCs/>
          <w:color w:val="auto"/>
          <w:sz w:val="28"/>
          <w:szCs w:val="28"/>
        </w:rPr>
        <w:t>下达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预算</w:t>
      </w:r>
      <w:r>
        <w:rPr>
          <w:rFonts w:hint="eastAsia" w:ascii="Times New Roman" w:hAnsi="Times New Roman" w:cs="Times New Roman"/>
          <w:b/>
          <w:bCs/>
          <w:color w:val="auto"/>
          <w:sz w:val="28"/>
          <w:szCs w:val="28"/>
          <w:lang w:val="en-US" w:eastAsia="zh-CN"/>
        </w:rPr>
        <w:t xml:space="preserve"> </w:t>
      </w:r>
    </w:p>
    <w:p w14:paraId="6B0A8494">
      <w:pPr>
        <w:pStyle w:val="9"/>
        <w:numPr>
          <w:ilvl w:val="0"/>
          <w:numId w:val="0"/>
        </w:numPr>
        <w:adjustRightInd w:val="0"/>
        <w:snapToGrid w:val="0"/>
        <w:spacing w:line="360" w:lineRule="auto"/>
        <w:ind w:firstLine="560" w:firstLineChars="200"/>
        <w:rPr>
          <w:rFonts w:hint="eastAsia" w:ascii="Times New Roman" w:hAnsi="Times New Roman" w:cs="Times New Roman"/>
          <w:color w:val="auto"/>
          <w:sz w:val="28"/>
          <w:szCs w:val="28"/>
          <w:lang w:eastAsia="zh-CN"/>
        </w:rPr>
      </w:pPr>
      <w:r>
        <w:rPr>
          <w:rFonts w:hint="eastAsia" w:ascii="Times New Roman" w:hAnsi="Times New Roman" w:cs="Times New Roman"/>
          <w:b w:val="0"/>
          <w:bCs w:val="0"/>
          <w:color w:val="auto"/>
          <w:sz w:val="28"/>
          <w:szCs w:val="28"/>
          <w:lang w:val="zh-CN" w:eastAsia="zh-CN"/>
        </w:rPr>
        <w:t xml:space="preserve"> 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zh-CN" w:eastAsia="zh-CN"/>
        </w:rPr>
        <w:t>2023年，本项目年初申请预算资金183万元，经《</w:t>
      </w:r>
      <w:r>
        <w:rPr>
          <w:rFonts w:hint="eastAsia" w:ascii="Times New Roman" w:hAnsi="Times New Roman" w:cs="Times New Roman" w:eastAsiaTheme="minorEastAsia"/>
          <w:color w:val="auto"/>
          <w:sz w:val="28"/>
          <w:szCs w:val="28"/>
          <w:lang w:val="zh-CN" w:eastAsia="zh-CN"/>
        </w:rPr>
        <w:t>关于批复2023年部门预算的通知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zh-CN" w:eastAsia="zh-CN"/>
        </w:rPr>
        <w:t>》，批复本项目预算资金183万元，因党务工作者调资原因，按照</w:t>
      </w:r>
      <w:r>
        <w:rPr>
          <w:rFonts w:hint="eastAsia" w:ascii="Times New Roman" w:hAnsi="Times New Roman" w:cs="Times New Roman" w:eastAsiaTheme="minorEastAsia"/>
          <w:color w:val="auto"/>
          <w:sz w:val="28"/>
          <w:szCs w:val="28"/>
          <w:lang w:val="zh-CN" w:eastAsia="zh-CN"/>
        </w:rPr>
        <w:t>《天津市宝坻区牛道口镇关于调整预算指标的函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zh-CN" w:eastAsia="zh-CN"/>
        </w:rPr>
        <w:t>》，区财政批复本项目年中调整预算指标12.106171万元。全年批复预算数195.106171万元。</w:t>
      </w:r>
    </w:p>
    <w:p w14:paraId="26CE0AAB">
      <w:pPr>
        <w:pStyle w:val="9"/>
        <w:numPr>
          <w:ilvl w:val="0"/>
          <w:numId w:val="2"/>
        </w:numPr>
        <w:adjustRightInd w:val="0"/>
        <w:snapToGrid w:val="0"/>
        <w:spacing w:line="360" w:lineRule="auto"/>
        <w:ind w:firstLine="560"/>
        <w:rPr>
          <w:rFonts w:hint="eastAsia" w:ascii="Times New Roman" w:hAnsi="Times New Roman" w:cs="Times New Roman"/>
          <w:color w:val="auto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绩效目标</w:t>
      </w:r>
      <w:r>
        <w:rPr>
          <w:rFonts w:hint="eastAsia" w:ascii="Times New Roman" w:hAnsi="Times New Roman" w:cs="Times New Roman"/>
          <w:b/>
          <w:bCs/>
          <w:color w:val="auto"/>
          <w:sz w:val="28"/>
          <w:szCs w:val="28"/>
        </w:rPr>
        <w:t>情况</w:t>
      </w:r>
      <w:r>
        <w:rPr>
          <w:rFonts w:hint="eastAsia" w:ascii="Times New Roman" w:hAnsi="Times New Roman" w:cs="Times New Roman"/>
          <w:b/>
          <w:bCs/>
          <w:color w:val="auto"/>
          <w:sz w:val="28"/>
          <w:szCs w:val="28"/>
          <w:lang w:val="en-US" w:eastAsia="zh-CN"/>
        </w:rPr>
        <w:t xml:space="preserve"> </w:t>
      </w:r>
    </w:p>
    <w:p w14:paraId="0336297D">
      <w:pPr>
        <w:pStyle w:val="9"/>
        <w:numPr>
          <w:ilvl w:val="0"/>
          <w:numId w:val="0"/>
        </w:numPr>
        <w:adjustRightInd w:val="0"/>
        <w:snapToGrid w:val="0"/>
        <w:spacing w:line="360" w:lineRule="auto"/>
        <w:ind w:firstLine="560"/>
        <w:rPr>
          <w:rFonts w:hint="eastAsia" w:ascii="Times New Roman" w:hAnsi="Times New Roman" w:cs="Times New Roman"/>
          <w:color w:val="auto"/>
          <w:sz w:val="28"/>
          <w:szCs w:val="28"/>
          <w:lang w:val="zh-CN" w:eastAsia="zh-CN"/>
        </w:rPr>
      </w:pPr>
      <w:r>
        <w:rPr>
          <w:rFonts w:hint="eastAsia" w:ascii="Times New Roman" w:hAnsi="Times New Roman" w:cs="Times New Roman"/>
          <w:color w:val="auto"/>
          <w:sz w:val="28"/>
          <w:szCs w:val="28"/>
          <w:lang w:val="zh-CN" w:eastAsia="zh-CN"/>
        </w:rPr>
        <w:t>目标1：调动党务工作者在岗位干事地积极性，构建顺畅高效的工作运行体系。</w:t>
      </w:r>
    </w:p>
    <w:p w14:paraId="49315750">
      <w:pPr>
        <w:pStyle w:val="9"/>
        <w:numPr>
          <w:ilvl w:val="0"/>
          <w:numId w:val="0"/>
        </w:numPr>
        <w:adjustRightInd w:val="0"/>
        <w:snapToGrid w:val="0"/>
        <w:spacing w:line="360" w:lineRule="auto"/>
        <w:ind w:firstLine="560"/>
        <w:rPr>
          <w:rFonts w:hint="eastAsia" w:ascii="Times New Roman" w:hAnsi="Times New Roman" w:cs="Times New Roman"/>
          <w:color w:val="auto"/>
          <w:sz w:val="28"/>
          <w:szCs w:val="28"/>
          <w:lang w:val="zh-CN" w:eastAsia="zh-CN"/>
        </w:rPr>
      </w:pPr>
      <w:r>
        <w:rPr>
          <w:rFonts w:hint="eastAsia" w:ascii="Times New Roman" w:hAnsi="Times New Roman" w:cs="Times New Roman"/>
          <w:color w:val="auto"/>
          <w:sz w:val="28"/>
          <w:szCs w:val="28"/>
          <w:lang w:val="zh-CN" w:eastAsia="zh-CN"/>
        </w:rPr>
        <w:t>目标2：用于党务工作者工资，保障各村党建等各项工作顺利开展，完成区委、区政府交办的各项工作任务。</w:t>
      </w:r>
    </w:p>
    <w:p w14:paraId="5538E66A">
      <w:pPr>
        <w:pStyle w:val="9"/>
        <w:numPr>
          <w:ilvl w:val="0"/>
          <w:numId w:val="1"/>
        </w:numPr>
        <w:ind w:firstLineChars="0"/>
        <w:jc w:val="left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hint="eastAsia" w:ascii="Times New Roman" w:hAnsi="Times New Roman" w:cs="Times New Roman"/>
          <w:b/>
          <w:color w:val="auto"/>
          <w:sz w:val="28"/>
          <w:szCs w:val="28"/>
        </w:rPr>
        <w:t>绩效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目标完成情况分析</w:t>
      </w:r>
    </w:p>
    <w:p w14:paraId="7D3E6F55">
      <w:pPr>
        <w:ind w:left="562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hint="eastAsia" w:ascii="Times New Roman" w:hAnsi="Times New Roman" w:cs="Times New Roman"/>
          <w:b/>
          <w:color w:val="auto"/>
          <w:sz w:val="28"/>
          <w:szCs w:val="28"/>
        </w:rPr>
        <w:t>2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.1</w:t>
      </w:r>
      <w:r>
        <w:rPr>
          <w:rFonts w:hint="eastAsia" w:ascii="Times New Roman" w:hAnsi="Times New Roman" w:cs="Times New Roman"/>
          <w:b/>
          <w:color w:val="auto"/>
          <w:sz w:val="28"/>
          <w:szCs w:val="28"/>
        </w:rPr>
        <w:t>资金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投入情况分析</w:t>
      </w:r>
    </w:p>
    <w:p w14:paraId="7D619667">
      <w:pPr>
        <w:pStyle w:val="9"/>
        <w:adjustRightInd w:val="0"/>
        <w:snapToGrid w:val="0"/>
        <w:spacing w:line="360" w:lineRule="auto"/>
        <w:ind w:firstLine="56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hint="eastAsia" w:ascii="Times New Roman" w:hAnsi="Times New Roman" w:cs="Times New Roman"/>
          <w:color w:val="auto"/>
          <w:sz w:val="28"/>
          <w:szCs w:val="28"/>
        </w:rPr>
        <w:t>（1）项目资金安排落实、总投入等情况分析</w:t>
      </w:r>
    </w:p>
    <w:p w14:paraId="648360F3">
      <w:pPr>
        <w:pStyle w:val="9"/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 xml:space="preserve">   党务工作者工资项目</w:t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zh-CN"/>
        </w:rPr>
        <w:t>年初预算资金183万元，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其中市级财政资金</w:t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zh-CN"/>
        </w:rPr>
        <w:t>183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万元</w:t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zh-CN"/>
        </w:rPr>
        <w:t>；批复调整预算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资金</w:t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zh-CN"/>
        </w:rPr>
        <w:t>12.106171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万元，</w:t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zh-CN"/>
        </w:rPr>
        <w:t>全年预算资金195.106171万元，全部为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市级财政资金</w:t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zh-CN"/>
        </w:rPr>
        <w:t>；</w:t>
      </w:r>
      <w:bookmarkStart w:id="0" w:name="_GoBack"/>
      <w:bookmarkEnd w:id="0"/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实际到位资金</w:t>
      </w: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lang w:eastAsia="zh-CN"/>
        </w:rPr>
        <w:t>195.106171万元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，资金全部安排用于党务工作者工资、保险、公积金等支出。</w:t>
      </w:r>
    </w:p>
    <w:p w14:paraId="751D3086">
      <w:pPr>
        <w:pStyle w:val="9"/>
        <w:adjustRightInd w:val="0"/>
        <w:snapToGrid w:val="0"/>
        <w:spacing w:line="360" w:lineRule="auto"/>
        <w:ind w:firstLine="56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hint="eastAsia" w:ascii="Times New Roman" w:hAnsi="Times New Roman" w:cs="Times New Roman"/>
          <w:color w:val="auto"/>
          <w:sz w:val="28"/>
          <w:szCs w:val="28"/>
        </w:rPr>
        <w:t>（2）项目资金实际使用情况分析</w:t>
      </w:r>
    </w:p>
    <w:p w14:paraId="3D693565">
      <w:pPr>
        <w:pStyle w:val="9"/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zh-CN"/>
        </w:rPr>
        <w:t>全年预算资金195.106171万元，全部为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市级财政资金</w:t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zh-CN"/>
        </w:rPr>
        <w:t>；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实际到位资金</w:t>
      </w: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lang w:eastAsia="zh-CN"/>
        </w:rPr>
        <w:t>195.106171万元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，资金全部安排用于党务工作者工资、保险、公积金等支出。</w:t>
      </w:r>
    </w:p>
    <w:p w14:paraId="23A53C45">
      <w:pPr>
        <w:ind w:left="562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hint="eastAsia" w:ascii="Times New Roman" w:hAnsi="Times New Roman" w:cs="Times New Roman"/>
          <w:b/>
          <w:color w:val="auto"/>
          <w:sz w:val="28"/>
          <w:szCs w:val="28"/>
        </w:rPr>
        <w:t>2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.2</w:t>
      </w:r>
      <w:r>
        <w:rPr>
          <w:rFonts w:hint="eastAsia" w:ascii="Times New Roman" w:hAnsi="Times New Roman" w:cs="Times New Roman"/>
          <w:b/>
          <w:color w:val="auto"/>
          <w:sz w:val="28"/>
          <w:szCs w:val="28"/>
        </w:rPr>
        <w:t>总体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绩效目标完成情况分析</w:t>
      </w:r>
    </w:p>
    <w:p w14:paraId="437F7A66">
      <w:pPr>
        <w:pStyle w:val="9"/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zh-CN" w:eastAsia="zh-CN"/>
        </w:rPr>
        <w:t>截至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202</w:t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zh-CN"/>
        </w:rPr>
        <w:t>3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年12月31日项目评价时点，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zh-CN" w:eastAsia="zh-CN"/>
        </w:rPr>
        <w:t>对照预定计划目标项目已经完成，党务工作者工资按月足额发放，提升了党务工作者的工资水平，增强了基层党组织的凝聚力，保障了社会稳定和谐发展。</w:t>
      </w:r>
    </w:p>
    <w:p w14:paraId="546F302C">
      <w:pPr>
        <w:ind w:left="562"/>
        <w:rPr>
          <w:rFonts w:hint="eastAsia" w:ascii="Times New Roman" w:hAnsi="Times New Roman" w:cs="Times New Roman"/>
          <w:b/>
          <w:color w:val="auto"/>
          <w:sz w:val="28"/>
          <w:szCs w:val="28"/>
        </w:rPr>
      </w:pPr>
      <w:r>
        <w:rPr>
          <w:rFonts w:hint="eastAsia" w:ascii="Times New Roman" w:hAnsi="Times New Roman" w:cs="Times New Roman"/>
          <w:b/>
          <w:color w:val="auto"/>
          <w:sz w:val="28"/>
          <w:szCs w:val="28"/>
        </w:rPr>
        <w:t>2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.3</w:t>
      </w:r>
      <w:r>
        <w:rPr>
          <w:rFonts w:hint="eastAsia" w:ascii="Times New Roman" w:hAnsi="Times New Roman" w:cs="Times New Roman"/>
          <w:b/>
          <w:color w:val="auto"/>
          <w:sz w:val="28"/>
          <w:szCs w:val="28"/>
        </w:rPr>
        <w:t>绩效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指标完成情况分析</w:t>
      </w:r>
    </w:p>
    <w:p w14:paraId="5E990F8F">
      <w:pPr>
        <w:pStyle w:val="9"/>
        <w:numPr>
          <w:ilvl w:val="0"/>
          <w:numId w:val="0"/>
        </w:numPr>
        <w:adjustRightInd w:val="0"/>
        <w:snapToGrid w:val="0"/>
        <w:spacing w:line="360" w:lineRule="auto"/>
        <w:ind w:firstLine="560"/>
        <w:rPr>
          <w:rFonts w:hint="eastAsia" w:ascii="Times New Roman" w:hAnsi="Times New Roman" w:cs="Times New Roman"/>
          <w:color w:val="auto"/>
          <w:sz w:val="28"/>
          <w:szCs w:val="28"/>
          <w:lang w:eastAsia="zh-CN"/>
        </w:rPr>
      </w:pPr>
      <w:r>
        <w:rPr>
          <w:rFonts w:hint="eastAsia" w:ascii="Times New Roman" w:hAnsi="Times New Roman" w:cs="Times New Roman"/>
          <w:color w:val="auto"/>
          <w:sz w:val="28"/>
          <w:szCs w:val="28"/>
          <w:lang w:eastAsia="zh-CN"/>
        </w:rPr>
        <w:t>产出指标完成情况分析：按照指标内容享受待遇的党务工作者</w:t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zh-CN"/>
        </w:rPr>
        <w:t>20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人，工资待遇发放合规率100%，及时率为100%，成本指标年初预算</w:t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zh-CN"/>
        </w:rPr>
        <w:t>9.76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万元/人/年，全年工资全部按时支付。</w:t>
      </w:r>
    </w:p>
    <w:p w14:paraId="4EA72815">
      <w:pPr>
        <w:pStyle w:val="9"/>
        <w:ind w:firstLine="560"/>
        <w:rPr>
          <w:rFonts w:hint="eastAsia" w:ascii="Times New Roman" w:hAnsi="Times New Roman" w:cs="Times New Roman"/>
          <w:color w:val="auto"/>
          <w:sz w:val="28"/>
          <w:szCs w:val="28"/>
          <w:lang w:eastAsia="zh-CN"/>
        </w:rPr>
      </w:pPr>
      <w:r>
        <w:rPr>
          <w:rFonts w:hint="eastAsia" w:ascii="Times New Roman" w:hAnsi="Times New Roman" w:cs="Times New Roman"/>
          <w:color w:val="auto"/>
          <w:sz w:val="28"/>
          <w:szCs w:val="28"/>
          <w:lang w:eastAsia="zh-CN"/>
        </w:rPr>
        <w:t>效益指标完成情况分析：社会效益方面提升</w:t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zh-CN"/>
        </w:rPr>
        <w:t>了</w:t>
      </w:r>
      <w:r>
        <w:rPr>
          <w:rFonts w:hint="eastAsia" w:ascii="Times New Roman" w:hAnsi="Times New Roman" w:cs="Times New Roman"/>
          <w:color w:val="auto"/>
          <w:sz w:val="28"/>
          <w:szCs w:val="28"/>
          <w:lang w:eastAsia="zh-CN"/>
        </w:rPr>
        <w:t>各部门办公效率，使公共服务质量得到提升</w:t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zh-CN"/>
        </w:rPr>
        <w:t>，</w:t>
      </w:r>
      <w:r>
        <w:rPr>
          <w:rFonts w:hint="eastAsia" w:ascii="Times New Roman" w:hAnsi="Times New Roman" w:cs="Times New Roman"/>
          <w:color w:val="auto"/>
          <w:sz w:val="28"/>
          <w:szCs w:val="28"/>
          <w:lang w:eastAsia="zh-CN"/>
        </w:rPr>
        <w:t>提高</w:t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zh-CN"/>
        </w:rPr>
        <w:t>了</w:t>
      </w:r>
      <w:r>
        <w:rPr>
          <w:rFonts w:hint="eastAsia" w:ascii="Times New Roman" w:hAnsi="Times New Roman" w:cs="Times New Roman"/>
          <w:color w:val="auto"/>
          <w:sz w:val="28"/>
          <w:szCs w:val="28"/>
          <w:lang w:eastAsia="zh-CN"/>
        </w:rPr>
        <w:t>社会就业率和就业人员生活水平，保障</w:t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zh-CN"/>
        </w:rPr>
        <w:t>了</w:t>
      </w:r>
      <w:r>
        <w:rPr>
          <w:rFonts w:hint="eastAsia" w:ascii="Times New Roman" w:hAnsi="Times New Roman" w:cs="Times New Roman"/>
          <w:color w:val="auto"/>
          <w:sz w:val="28"/>
          <w:szCs w:val="28"/>
          <w:lang w:eastAsia="zh-CN"/>
        </w:rPr>
        <w:t>社会稳定发展</w:t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zh-CN"/>
        </w:rPr>
        <w:t>，</w:t>
      </w:r>
      <w:r>
        <w:rPr>
          <w:rFonts w:hint="eastAsia" w:ascii="Times New Roman" w:hAnsi="Times New Roman" w:cs="Times New Roman"/>
          <w:color w:val="auto"/>
          <w:sz w:val="28"/>
          <w:szCs w:val="28"/>
          <w:lang w:eastAsia="zh-CN"/>
        </w:rPr>
        <w:t>增强</w:t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zh-CN"/>
        </w:rPr>
        <w:t>了</w:t>
      </w:r>
      <w:r>
        <w:rPr>
          <w:rFonts w:hint="eastAsia" w:ascii="Times New Roman" w:hAnsi="Times New Roman" w:cs="Times New Roman"/>
          <w:color w:val="auto"/>
          <w:sz w:val="28"/>
          <w:szCs w:val="28"/>
          <w:lang w:eastAsia="zh-CN"/>
        </w:rPr>
        <w:t>人员归属感和凝聚力。</w:t>
      </w:r>
    </w:p>
    <w:p w14:paraId="15C0B1EA">
      <w:pPr>
        <w:pStyle w:val="9"/>
        <w:ind w:firstLine="560"/>
        <w:rPr>
          <w:rFonts w:hint="eastAsia" w:ascii="Times New Roman" w:hAnsi="Times New Roman" w:cs="Times New Roman"/>
          <w:color w:val="auto"/>
          <w:sz w:val="28"/>
          <w:szCs w:val="28"/>
          <w:lang w:eastAsia="zh-CN"/>
        </w:rPr>
      </w:pPr>
      <w:r>
        <w:rPr>
          <w:rFonts w:hint="eastAsia" w:ascii="Times New Roman" w:hAnsi="Times New Roman" w:cs="Times New Roman"/>
          <w:color w:val="auto"/>
          <w:sz w:val="28"/>
          <w:szCs w:val="28"/>
          <w:lang w:eastAsia="zh-CN"/>
        </w:rPr>
        <w:t>满意度指标完成情况分析：党务工作者满意度达到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95%。</w:t>
      </w:r>
    </w:p>
    <w:p w14:paraId="76695300">
      <w:pPr>
        <w:pStyle w:val="9"/>
        <w:numPr>
          <w:ilvl w:val="0"/>
          <w:numId w:val="1"/>
        </w:numPr>
        <w:ind w:firstLineChars="0"/>
        <w:jc w:val="left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hint="eastAsia" w:ascii="Times New Roman" w:hAnsi="Times New Roman" w:cs="Times New Roman"/>
          <w:b/>
          <w:color w:val="auto"/>
          <w:sz w:val="28"/>
          <w:szCs w:val="28"/>
        </w:rPr>
        <w:t>偏离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绩效目标的原因和下一步改进措施</w:t>
      </w:r>
    </w:p>
    <w:p w14:paraId="37A686E6">
      <w:pPr>
        <w:spacing w:line="360" w:lineRule="auto"/>
        <w:ind w:firstLine="560" w:firstLineChars="200"/>
        <w:rPr>
          <w:rFonts w:hint="eastAsia" w:ascii="Times New Roman" w:hAnsi="Times New Roman" w:cs="Times New Roman"/>
          <w:color w:val="auto"/>
          <w:sz w:val="28"/>
          <w:szCs w:val="28"/>
          <w:lang w:eastAsia="zh-CN"/>
        </w:rPr>
      </w:pPr>
      <w:r>
        <w:rPr>
          <w:rFonts w:hint="eastAsia" w:ascii="Times New Roman" w:hAnsi="Times New Roman" w:cs="Times New Roman"/>
          <w:color w:val="auto"/>
          <w:sz w:val="28"/>
          <w:szCs w:val="28"/>
          <w:lang w:eastAsia="zh-CN"/>
        </w:rPr>
        <w:t>我单位转移支付资金严格按照上级要求和各项管理办法执行，资金使用较为合理规范。为全面贯彻上级主管部门的要求，我单位会加强资金管理，提高资金使用绩效。下一步我单位会积极组织挖掘税收新的增长点，培育优秀的税收资源，不断增加财政收入，保证我镇各项事业正常运转。</w:t>
      </w:r>
    </w:p>
    <w:p w14:paraId="28ADAE65">
      <w:pPr>
        <w:pStyle w:val="9"/>
        <w:numPr>
          <w:ilvl w:val="0"/>
          <w:numId w:val="1"/>
        </w:numPr>
        <w:ind w:firstLineChars="0"/>
        <w:jc w:val="left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hint="eastAsia" w:ascii="Times New Roman" w:hAnsi="Times New Roman" w:cs="Times New Roman"/>
          <w:b/>
          <w:color w:val="auto"/>
          <w:sz w:val="28"/>
          <w:szCs w:val="28"/>
        </w:rPr>
        <w:t>绩效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自评结果拟应用和公开情况</w:t>
      </w:r>
    </w:p>
    <w:p w14:paraId="0787311C">
      <w:pPr>
        <w:pStyle w:val="9"/>
        <w:ind w:firstLine="560"/>
        <w:rPr>
          <w:rFonts w:hint="eastAsia" w:ascii="Times New Roman" w:hAnsi="Times New Roman" w:cs="Times New Roman"/>
          <w:color w:val="auto"/>
          <w:sz w:val="28"/>
          <w:szCs w:val="28"/>
        </w:rPr>
      </w:pPr>
      <w:r>
        <w:rPr>
          <w:rFonts w:hint="eastAsia" w:ascii="Times New Roman" w:hAnsi="Times New Roman" w:cs="Times New Roman"/>
          <w:color w:val="auto"/>
          <w:sz w:val="28"/>
          <w:szCs w:val="28"/>
          <w:lang w:eastAsia="zh-CN"/>
        </w:rPr>
        <w:t>本年度党务工作者工资项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目支出后的实际状况与项目申报的绩效目标进行对比分析，项目与批复下达相符，其他各项绩效指标任务已完成。项目完成后，我们对绩效自评结果在政务平台公开，接受群众监督。</w:t>
      </w:r>
    </w:p>
    <w:p w14:paraId="73B36463">
      <w:pPr>
        <w:pStyle w:val="9"/>
        <w:numPr>
          <w:ilvl w:val="0"/>
          <w:numId w:val="1"/>
        </w:numPr>
        <w:ind w:firstLineChars="0"/>
        <w:jc w:val="left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hint="eastAsia" w:ascii="Times New Roman" w:hAnsi="Times New Roman" w:cs="Times New Roman"/>
          <w:b/>
          <w:color w:val="auto"/>
          <w:sz w:val="28"/>
          <w:szCs w:val="28"/>
        </w:rPr>
        <w:t>其他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需要说明的问题</w:t>
      </w:r>
    </w:p>
    <w:p w14:paraId="08D5B637">
      <w:pPr>
        <w:pStyle w:val="9"/>
        <w:ind w:firstLine="560"/>
        <w:rPr>
          <w:rFonts w:hint="eastAsia" w:ascii="Times New Roman" w:hAnsi="Times New Roman" w:cs="Times New Roman"/>
          <w:color w:val="auto"/>
          <w:sz w:val="28"/>
          <w:szCs w:val="28"/>
        </w:rPr>
      </w:pPr>
      <w:r>
        <w:rPr>
          <w:rFonts w:hint="eastAsia" w:ascii="Times New Roman" w:hAnsi="Times New Roman" w:cs="Times New Roman"/>
          <w:color w:val="auto"/>
          <w:sz w:val="28"/>
          <w:szCs w:val="28"/>
          <w:lang w:eastAsia="zh-CN"/>
        </w:rPr>
        <w:t>截止目前，未收到</w:t>
      </w:r>
      <w:r>
        <w:rPr>
          <w:rFonts w:hint="eastAsia" w:ascii="Times New Roman" w:hAnsi="Times New Roman" w:cs="Times New Roman"/>
          <w:color w:val="auto"/>
          <w:sz w:val="28"/>
          <w:szCs w:val="28"/>
        </w:rPr>
        <w:t>中央</w:t>
      </w:r>
      <w:r>
        <w:rPr>
          <w:rFonts w:ascii="Times New Roman" w:hAnsi="Times New Roman" w:cs="Times New Roman"/>
          <w:color w:val="auto"/>
          <w:sz w:val="28"/>
          <w:szCs w:val="28"/>
        </w:rPr>
        <w:t>巡视、各级审计和财政监督中发现的问题</w:t>
      </w:r>
      <w:r>
        <w:rPr>
          <w:rFonts w:hint="eastAsia" w:ascii="Times New Roman" w:hAnsi="Times New Roman" w:cs="Times New Roman"/>
          <w:color w:val="auto"/>
          <w:sz w:val="28"/>
          <w:szCs w:val="28"/>
          <w:lang w:eastAsia="zh-CN"/>
        </w:rPr>
        <w:t>反馈</w:t>
      </w:r>
      <w:r>
        <w:rPr>
          <w:rFonts w:hint="eastAsia" w:ascii="Times New Roman" w:hAnsi="Times New Roman" w:cs="Times New Roman"/>
          <w:color w:val="auto"/>
          <w:sz w:val="28"/>
          <w:szCs w:val="28"/>
        </w:rPr>
        <w:t>。</w:t>
      </w:r>
    </w:p>
    <w:p w14:paraId="786B1745">
      <w:pPr>
        <w:jc w:val="left"/>
        <w:rPr>
          <w:rFonts w:hint="eastAsia" w:ascii="Times New Roman" w:hAnsi="Times New Roman" w:cs="Times New Roman"/>
          <w:b/>
          <w:color w:val="auto"/>
          <w:sz w:val="28"/>
          <w:szCs w:val="28"/>
        </w:rPr>
      </w:pPr>
      <w:r>
        <w:rPr>
          <w:rFonts w:hint="eastAsia" w:ascii="Times New Roman" w:hAnsi="Times New Roman" w:cs="Times New Roman"/>
          <w:b/>
          <w:color w:val="auto"/>
          <w:sz w:val="28"/>
          <w:szCs w:val="28"/>
        </w:rPr>
        <w:t>附件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：绩效目标自评表</w:t>
      </w:r>
    </w:p>
    <w:p w14:paraId="1708FB06">
      <w:pPr>
        <w:rPr>
          <w:rFonts w:hint="eastAsia"/>
          <w:color w:val="auto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00773C"/>
    <w:multiLevelType w:val="singleLevel"/>
    <w:tmpl w:val="A500773C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46B5778"/>
    <w:multiLevelType w:val="multilevel"/>
    <w:tmpl w:val="246B5778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E3NjM2MDBlNjI4Yjc1ZDgyZTE1YmNlODQ1YTNmOGEifQ=="/>
  </w:docVars>
  <w:rsids>
    <w:rsidRoot w:val="00DE3E7F"/>
    <w:rsid w:val="00226B4A"/>
    <w:rsid w:val="00445800"/>
    <w:rsid w:val="00A64C47"/>
    <w:rsid w:val="00D032B8"/>
    <w:rsid w:val="00D81145"/>
    <w:rsid w:val="00DB33A5"/>
    <w:rsid w:val="00DE3E7F"/>
    <w:rsid w:val="249D7A74"/>
    <w:rsid w:val="27FDFF96"/>
    <w:rsid w:val="298A767D"/>
    <w:rsid w:val="39AC65D1"/>
    <w:rsid w:val="3B99F9E9"/>
    <w:rsid w:val="44B516F1"/>
    <w:rsid w:val="4667376F"/>
    <w:rsid w:val="4FEFD375"/>
    <w:rsid w:val="5BFF4D64"/>
    <w:rsid w:val="63DB8D24"/>
    <w:rsid w:val="69E805DE"/>
    <w:rsid w:val="6E9538C1"/>
    <w:rsid w:val="6F8B23ED"/>
    <w:rsid w:val="6FF9A9CF"/>
    <w:rsid w:val="726E7702"/>
    <w:rsid w:val="7D3BF1C1"/>
    <w:rsid w:val="7DECCC05"/>
    <w:rsid w:val="7DFA5EB8"/>
    <w:rsid w:val="7EFB72C0"/>
    <w:rsid w:val="7FB76B4E"/>
    <w:rsid w:val="7FBC4F13"/>
    <w:rsid w:val="7FCD570B"/>
    <w:rsid w:val="99FFC9DA"/>
    <w:rsid w:val="F8DA3B03"/>
    <w:rsid w:val="FAFFD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1380</Words>
  <Characters>1508</Characters>
  <Lines>3</Lines>
  <Paragraphs>1</Paragraphs>
  <TotalTime>3</TotalTime>
  <ScaleCrop>false</ScaleCrop>
  <LinksUpToDate>false</LinksUpToDate>
  <CharactersWithSpaces>1534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2021-03-22T23:10:00Z</dcterms:created>
  <dc:creator>Uber</dc:creator>
  <cp:lastModifiedBy>00</cp:lastModifiedBy>
  <dcterms:modified xsi:type="dcterms:W3CDTF">2024-06-28T07:09:01Z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669473C972924E75A0D2DD5439A926A3</vt:lpwstr>
  </property>
</Properties>
</file>