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衔接推进乡村振兴激励资金</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left="1140" w:leftChars="0"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numPr>
          <w:ilvl w:val="0"/>
          <w:numId w:val="2"/>
        </w:numPr>
        <w:spacing w:line="560" w:lineRule="exact"/>
        <w:ind w:firstLine="480"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bookmarkStart w:id="0" w:name="_GoBack"/>
      <w:bookmarkEnd w:id="0"/>
    </w:p>
    <w:p>
      <w:pPr>
        <w:numPr>
          <w:ilvl w:val="0"/>
          <w:numId w:val="0"/>
        </w:numPr>
        <w:spacing w:line="560" w:lineRule="exact"/>
        <w:ind w:firstLine="420" w:firstLineChars="0"/>
        <w:rPr>
          <w:rFonts w:hint="default" w:ascii="Times New Roman" w:hAnsi="Times New Roman" w:cs="Times New Roman"/>
          <w:sz w:val="28"/>
          <w:szCs w:val="28"/>
          <w:lang w:val="en-US" w:eastAsia="zh-CN"/>
        </w:rPr>
      </w:pPr>
      <w:r>
        <w:rPr>
          <w:rFonts w:hint="eastAsia" w:asciiTheme="minorEastAsia" w:hAnsiTheme="minorEastAsia" w:cstheme="minorEastAsia"/>
          <w:kern w:val="2"/>
          <w:sz w:val="28"/>
          <w:szCs w:val="28"/>
          <w:lang w:val="en-US" w:eastAsia="zh-CN" w:bidi="ar-SA"/>
        </w:rPr>
        <w:t>响应</w:t>
      </w:r>
      <w:r>
        <w:rPr>
          <w:rFonts w:hint="eastAsia" w:asciiTheme="minorEastAsia" w:hAnsiTheme="minorEastAsia" w:eastAsiaTheme="minorEastAsia" w:cstheme="minorEastAsia"/>
          <w:kern w:val="2"/>
          <w:sz w:val="28"/>
          <w:szCs w:val="28"/>
          <w:lang w:val="en-US" w:eastAsia="zh-CN" w:bidi="ar-SA"/>
        </w:rPr>
        <w:t>上级部门</w:t>
      </w:r>
      <w:r>
        <w:rPr>
          <w:rFonts w:hint="eastAsia" w:asciiTheme="minorEastAsia" w:hAnsiTheme="minorEastAsia" w:cstheme="minorEastAsia"/>
          <w:kern w:val="2"/>
          <w:sz w:val="28"/>
          <w:szCs w:val="28"/>
          <w:lang w:val="en-US" w:eastAsia="zh-CN" w:bidi="ar-SA"/>
        </w:rPr>
        <w:t>推进乡村振兴，</w:t>
      </w:r>
      <w:r>
        <w:rPr>
          <w:rFonts w:hint="eastAsia" w:asciiTheme="minorEastAsia" w:hAnsiTheme="minorEastAsia" w:eastAsiaTheme="minorEastAsia" w:cstheme="minorEastAsia"/>
          <w:kern w:val="2"/>
          <w:sz w:val="28"/>
          <w:szCs w:val="28"/>
          <w:lang w:val="en-US" w:eastAsia="zh-CN" w:bidi="ar-SA"/>
        </w:rPr>
        <w:t>加快农村公共服务设施和基础设施建设</w:t>
      </w:r>
      <w:r>
        <w:rPr>
          <w:rFonts w:hint="eastAsia" w:asciiTheme="minorEastAsia" w:hAnsiTheme="minorEastAsia" w:cstheme="minorEastAsia"/>
          <w:kern w:val="2"/>
          <w:sz w:val="28"/>
          <w:szCs w:val="28"/>
          <w:lang w:val="en-US" w:eastAsia="zh-CN" w:bidi="ar-SA"/>
        </w:rPr>
        <w:t>，我单位向上级报送符合条件的村集体，此次具体项目内容为扶持西刘举人村发展生姜产业，建设4个村庄的基础设施及道路，解决急需改善的农村生活基本设施，利用各项政策资源因地制宜打造村级特色产业。</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imes New Roman" w:hAnsi="Times New Roman" w:cs="Times New Roman"/>
          <w:color w:val="auto"/>
          <w:sz w:val="28"/>
          <w:szCs w:val="28"/>
          <w:lang w:val="en-US" w:eastAsia="zh-CN"/>
        </w:rPr>
        <w:t>为切实推进乡村振兴，规范财政补助资金管理，确保专款专用和运行高效，</w:t>
      </w:r>
      <w:r>
        <w:rPr>
          <w:rFonts w:hint="eastAsia" w:asciiTheme="minorEastAsia" w:hAnsiTheme="minorEastAsia" w:cstheme="minorEastAsia"/>
          <w:sz w:val="28"/>
          <w:szCs w:val="28"/>
          <w:lang w:val="en-US" w:eastAsia="zh-CN"/>
        </w:rPr>
        <w:t>该项目由之前申报的村集体向我单位提出支款申请，经我单位审核无误后向上级部门进行申请，上级拨付我单位资金后，有我单位按照实际报送</w:t>
      </w:r>
      <w:r>
        <w:rPr>
          <w:rFonts w:hint="eastAsia" w:asciiTheme="minorEastAsia" w:hAnsiTheme="minorEastAsia" w:eastAsiaTheme="minorEastAsia" w:cstheme="minorEastAsia"/>
          <w:sz w:val="28"/>
          <w:szCs w:val="28"/>
        </w:rPr>
        <w:t>标准</w:t>
      </w:r>
      <w:r>
        <w:rPr>
          <w:rFonts w:hint="eastAsia" w:asciiTheme="minorEastAsia" w:hAnsiTheme="minorEastAsia" w:cstheme="minorEastAsia"/>
          <w:sz w:val="28"/>
          <w:szCs w:val="28"/>
          <w:lang w:val="en-US" w:eastAsia="zh-CN"/>
        </w:rPr>
        <w:t>向该村</w:t>
      </w:r>
      <w:r>
        <w:rPr>
          <w:rFonts w:hint="eastAsia" w:asciiTheme="minorEastAsia" w:hAnsiTheme="minorEastAsia" w:eastAsiaTheme="minorEastAsia" w:cstheme="minorEastAsia"/>
          <w:sz w:val="28"/>
          <w:szCs w:val="28"/>
        </w:rPr>
        <w:t>进行拨付。</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资金由我单位年中调整预算，并向财政局提出预算申请，2022年衔接推进乡村振兴激励资金460万元，2022年财政局由财政一体化系统及时拨付我单位460</w:t>
      </w:r>
      <w:r>
        <w:rPr>
          <w:rFonts w:hint="eastAsia" w:asciiTheme="minorEastAsia" w:hAnsiTheme="minorEastAsia" w:eastAsiaTheme="minorEastAsia" w:cstheme="minorEastAsia"/>
          <w:kern w:val="2"/>
          <w:sz w:val="28"/>
          <w:szCs w:val="28"/>
          <w:lang w:val="en-US" w:eastAsia="zh-CN" w:bidi="ar-SA"/>
        </w:rPr>
        <w:t>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该项目总体目标为支持薄弱村基础设施改造提升，解决急需改善的农村生活基本设施，利用各项政策资源因地制宜打造村级特色产业。数量指标改善基础设施村庄数量</w:t>
      </w:r>
      <w:r>
        <w:rPr>
          <w:rFonts w:hint="eastAsia" w:asciiTheme="minorEastAsia" w:hAnsiTheme="minorEastAsia" w:cstheme="minorEastAsia"/>
          <w:kern w:val="2"/>
          <w:sz w:val="28"/>
          <w:szCs w:val="28"/>
          <w:lang w:val="en-US" w:eastAsia="zh-CN" w:bidi="ar-SA"/>
        </w:rPr>
        <w:t>4</w:t>
      </w:r>
      <w:r>
        <w:rPr>
          <w:rFonts w:hint="eastAsia" w:asciiTheme="minorEastAsia" w:hAnsiTheme="minorEastAsia" w:eastAsiaTheme="minorEastAsia" w:cstheme="minorEastAsia"/>
          <w:kern w:val="2"/>
          <w:sz w:val="28"/>
          <w:szCs w:val="28"/>
          <w:lang w:val="en-US" w:eastAsia="zh-CN" w:bidi="ar-SA"/>
        </w:rPr>
        <w:t>个</w:t>
      </w:r>
      <w:r>
        <w:rPr>
          <w:rFonts w:hint="eastAsia" w:asciiTheme="minorEastAsia" w:hAnsiTheme="minorEastAsia" w:cstheme="minorEastAsia"/>
          <w:kern w:val="2"/>
          <w:sz w:val="28"/>
          <w:szCs w:val="28"/>
          <w:lang w:val="en-US" w:eastAsia="zh-CN" w:bidi="ar-SA"/>
        </w:rPr>
        <w:t>，生姜设备购置台数不低于10台；质量指标采购生姜设备合格率≥95%，工程质量检测合格率≥90%；时效指标基础设施完工时间2022/12/31之前，成本指标支持薄弱村每村拨付数40万元，农业设备采购成本300万元；经济效益指标带动人员就业率90%，社会效益促进本村农业发展率92%；满意度指标服务对象满意率90%。</w:t>
      </w:r>
    </w:p>
    <w:p>
      <w:pPr>
        <w:pStyle w:val="8"/>
        <w:numPr>
          <w:ilvl w:val="0"/>
          <w:numId w:val="1"/>
        </w:numPr>
        <w:ind w:left="1140" w:leftChars="0"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w:t>
      </w:r>
      <w:r>
        <w:rPr>
          <w:rFonts w:hint="eastAsia" w:ascii="Times New Roman" w:hAnsi="Times New Roman" w:cs="Times New Roman"/>
          <w:sz w:val="28"/>
          <w:szCs w:val="28"/>
          <w:lang w:val="en-US" w:eastAsia="zh-CN"/>
        </w:rPr>
        <w:t>449万元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其中中央资金449万元。</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资金计划完成449万元，实际完成金额449万元，其中中央资金449万元，资金到位率为100%。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449万元，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100%</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2022年底资金支付完成449万元，资金与预算相符，</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及时支付到村及施工单位，资金支付依据合理合规，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发放资金</w:t>
      </w:r>
      <w:r>
        <w:rPr>
          <w:rFonts w:hint="eastAsia" w:ascii="Times New Roman" w:hAnsi="Times New Roman" w:cs="Times New Roman"/>
          <w:sz w:val="28"/>
          <w:szCs w:val="28"/>
          <w:lang w:val="zh-CN" w:eastAsia="zh-CN"/>
        </w:rPr>
        <w:t>，</w:t>
      </w:r>
      <w:r>
        <w:rPr>
          <w:rFonts w:hint="eastAsia" w:asciiTheme="minorEastAsia" w:hAnsiTheme="minorEastAsia" w:eastAsiaTheme="minorEastAsia" w:cstheme="minorEastAsia"/>
          <w:kern w:val="2"/>
          <w:sz w:val="28"/>
          <w:szCs w:val="28"/>
          <w:lang w:val="en-US" w:eastAsia="zh-CN" w:bidi="ar-SA"/>
        </w:rPr>
        <w:t>有效支持薄弱村基础设施改造提升，解决</w:t>
      </w:r>
      <w:r>
        <w:rPr>
          <w:rFonts w:hint="eastAsia" w:asciiTheme="minorEastAsia" w:hAnsiTheme="minorEastAsia" w:cstheme="minorEastAsia"/>
          <w:kern w:val="2"/>
          <w:sz w:val="28"/>
          <w:szCs w:val="28"/>
          <w:lang w:val="en-US" w:eastAsia="zh-CN" w:bidi="ar-SA"/>
        </w:rPr>
        <w:t>l</w:t>
      </w:r>
      <w:r>
        <w:rPr>
          <w:rFonts w:hint="eastAsia" w:asciiTheme="minorEastAsia" w:hAnsiTheme="minorEastAsia" w:eastAsiaTheme="minorEastAsia" w:cstheme="minorEastAsia"/>
          <w:kern w:val="2"/>
          <w:sz w:val="28"/>
          <w:szCs w:val="28"/>
          <w:lang w:val="en-US" w:eastAsia="zh-CN" w:bidi="ar-SA"/>
        </w:rPr>
        <w:t>急需改善的农村生活基本设施，利用各项政策资源因地制宜打造村级</w:t>
      </w:r>
      <w:r>
        <w:rPr>
          <w:rFonts w:hint="eastAsia" w:asciiTheme="minorEastAsia" w:hAnsiTheme="minorEastAsia" w:cstheme="minorEastAsia"/>
          <w:kern w:val="2"/>
          <w:sz w:val="28"/>
          <w:szCs w:val="28"/>
          <w:lang w:val="en-US" w:eastAsia="zh-CN" w:bidi="ar-SA"/>
        </w:rPr>
        <w:t>生姜种植</w:t>
      </w:r>
      <w:r>
        <w:rPr>
          <w:rFonts w:hint="eastAsia" w:asciiTheme="minorEastAsia" w:hAnsiTheme="minorEastAsia" w:eastAsiaTheme="minorEastAsia" w:cstheme="minorEastAsia"/>
          <w:kern w:val="2"/>
          <w:sz w:val="28"/>
          <w:szCs w:val="28"/>
          <w:lang w:val="en-US" w:eastAsia="zh-CN" w:bidi="ar-SA"/>
        </w:rPr>
        <w:t>特色产业。</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数量指标改善基础设施村庄数量</w:t>
      </w:r>
      <w:r>
        <w:rPr>
          <w:rFonts w:hint="eastAsia" w:asciiTheme="minorEastAsia" w:hAnsiTheme="minorEastAsia" w:cstheme="minorEastAsia"/>
          <w:kern w:val="2"/>
          <w:sz w:val="28"/>
          <w:szCs w:val="28"/>
          <w:lang w:val="en-US" w:eastAsia="zh-CN" w:bidi="ar-SA"/>
        </w:rPr>
        <w:t>4</w:t>
      </w:r>
      <w:r>
        <w:rPr>
          <w:rFonts w:hint="eastAsia" w:asciiTheme="minorEastAsia" w:hAnsiTheme="minorEastAsia" w:eastAsiaTheme="minorEastAsia" w:cstheme="minorEastAsia"/>
          <w:kern w:val="2"/>
          <w:sz w:val="28"/>
          <w:szCs w:val="28"/>
          <w:lang w:val="en-US" w:eastAsia="zh-CN" w:bidi="ar-SA"/>
        </w:rPr>
        <w:t>个</w:t>
      </w:r>
      <w:r>
        <w:rPr>
          <w:rFonts w:hint="eastAsia" w:asciiTheme="minorEastAsia" w:hAnsiTheme="minorEastAsia" w:cstheme="minorEastAsia"/>
          <w:kern w:val="2"/>
          <w:sz w:val="28"/>
          <w:szCs w:val="28"/>
          <w:lang w:val="en-US" w:eastAsia="zh-CN" w:bidi="ar-SA"/>
        </w:rPr>
        <w:t>，生姜设备购置台数不低于10台；质量指标采购生姜设备合格率≥95%，工程质量检测合格率≥90%；时效指标基础设施完工时间2022/12/31之前已经完工，成本指标支持薄弱村每村拨付数40万元，农业设备采购成本300万元；经济效益指标带动人员就业率93%，社会效益促进本村农业发展率95%；满意度指标服务对象满意率96,%，均达到预期目标。</w:t>
      </w:r>
    </w:p>
    <w:p>
      <w:pPr>
        <w:pStyle w:val="8"/>
        <w:numPr>
          <w:ilvl w:val="0"/>
          <w:numId w:val="0"/>
        </w:numPr>
        <w:ind w:leftChars="0" w:firstLine="420" w:firstLine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ind w:firstLine="560"/>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本项目未偏离绩效目标。</w:t>
      </w:r>
    </w:p>
    <w:p>
      <w:pPr>
        <w:pStyle w:val="8"/>
        <w:numPr>
          <w:ilvl w:val="0"/>
          <w:numId w:val="0"/>
        </w:numPr>
        <w:ind w:left="420"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numPr>
          <w:ilvl w:val="0"/>
          <w:numId w:val="0"/>
        </w:numPr>
        <w:ind w:leftChars="0" w:firstLine="420" w:firstLineChars="0"/>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根据专项绩效评定指标对各</w:t>
      </w:r>
      <w:r>
        <w:rPr>
          <w:rFonts w:hint="eastAsia" w:ascii="Times New Roman" w:hAnsi="Times New Roman" w:cs="Times New Roman"/>
          <w:sz w:val="28"/>
          <w:szCs w:val="28"/>
          <w:lang w:val="en-US" w:eastAsia="zh-CN"/>
        </w:rPr>
        <w:t>项目量化评价，将本年度衔接推进乡村振兴激励资金项目支出后的实际状况与项目申报的绩效目标进行对比分析，项目与批复下达相符，</w:t>
      </w:r>
      <w:r>
        <w:rPr>
          <w:rFonts w:hint="eastAsia" w:ascii="Times New Roman" w:hAnsi="Times New Roman" w:cs="Times New Roman"/>
          <w:sz w:val="28"/>
          <w:szCs w:val="28"/>
          <w:lang w:eastAsia="zh-CN"/>
        </w:rPr>
        <w:t>资金落实到位，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p>
    <w:p>
      <w:pPr>
        <w:pStyle w:val="8"/>
        <w:numPr>
          <w:ilvl w:val="0"/>
          <w:numId w:val="0"/>
        </w:numPr>
        <w:ind w:leftChars="0" w:firstLine="281" w:firstLineChars="10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11DE3FA1"/>
    <w:rsid w:val="249D7A74"/>
    <w:rsid w:val="3722262A"/>
    <w:rsid w:val="4667376F"/>
    <w:rsid w:val="4F796EF7"/>
    <w:rsid w:val="525B11D4"/>
    <w:rsid w:val="5F1C309E"/>
    <w:rsid w:val="6CAB1A99"/>
    <w:rsid w:val="DBFF424A"/>
    <w:rsid w:val="DDFD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1316</Words>
  <Characters>1413</Characters>
  <Lines>3</Lines>
  <Paragraphs>1</Paragraphs>
  <TotalTime>0</TotalTime>
  <ScaleCrop>false</ScaleCrop>
  <LinksUpToDate>false</LinksUpToDate>
  <CharactersWithSpaces>1413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2021-03-20T07:10:00Z</dcterms:created>
  <dc:creator>Uber</dc:creator>
  <cp:lastModifiedBy>greatwall</cp:lastModifiedBy>
  <dcterms:modified xsi:type="dcterms:W3CDTF">2025-07-22T10:09:55Z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669473C972924E75A0D2DD5439A926A3</vt:lpwstr>
  </property>
</Properties>
</file>