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jc w:val="both"/>
        <w:textAlignment w:val="auto"/>
        <w:rPr>
          <w:rFonts w:hint="eastAsia" w:ascii="方正小标宋简体" w:hAnsi="方正小标宋简体" w:eastAsia="方正小标宋简体" w:cs="方正小标宋简体"/>
          <w:b w:val="0"/>
          <w:bCs w:val="0"/>
          <w:sz w:val="34"/>
          <w:szCs w:val="3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w:t>
      </w:r>
      <w:r>
        <w:rPr>
          <w:rFonts w:hint="eastAsia" w:ascii="方正小标宋简体" w:hAnsi="方正小标宋简体" w:eastAsia="方正小标宋简体" w:cs="方正小标宋简体"/>
          <w:b w:val="0"/>
          <w:bCs w:val="0"/>
          <w:sz w:val="36"/>
          <w:szCs w:val="36"/>
        </w:rPr>
        <w:t>天津市宝坻区水土保持规划（2022</w:t>
      </w:r>
      <w:r>
        <w:rPr>
          <w:rFonts w:hint="eastAsia" w:ascii="方正小标宋简体" w:hAnsi="方正小标宋简体" w:eastAsia="方正小标宋简体" w:cs="方正小标宋简体"/>
          <w:b w:val="0"/>
          <w:bCs w:val="0"/>
          <w:sz w:val="36"/>
          <w:szCs w:val="36"/>
          <w:lang w:eastAsia="zh-CN"/>
        </w:rPr>
        <w:t>～</w:t>
      </w:r>
      <w:r>
        <w:rPr>
          <w:rFonts w:hint="eastAsia" w:ascii="方正小标宋简体" w:hAnsi="方正小标宋简体" w:eastAsia="方正小标宋简体" w:cs="方正小标宋简体"/>
          <w:b w:val="0"/>
          <w:bCs w:val="0"/>
          <w:sz w:val="36"/>
          <w:szCs w:val="36"/>
        </w:rPr>
        <w:t>2035年）》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重大行政决策事项社会稳定风险评估公示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eastAsia" w:ascii="方正仿宋简体" w:hAnsi="方正仿宋简体" w:eastAsia="方正仿宋简体" w:cs="方正仿宋简体"/>
          <w:sz w:val="34"/>
          <w:szCs w:val="3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lang w:val="en-US" w:eastAsia="zh-CN"/>
        </w:rPr>
        <w:t>天津市宝坻区水务局</w:t>
      </w:r>
      <w:r>
        <w:rPr>
          <w:rFonts w:hint="eastAsia" w:ascii="方正仿宋简体" w:hAnsi="方正仿宋简体" w:eastAsia="方正仿宋简体" w:cs="方正仿宋简体"/>
          <w:sz w:val="34"/>
          <w:szCs w:val="34"/>
        </w:rPr>
        <w:t>拟对《《天津市宝坻区水土保持规划》（2022</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rPr>
        <w:t>2035年）（征求意见稿）》进行社会稳定风险评估，现委托</w:t>
      </w:r>
      <w:r>
        <w:rPr>
          <w:rFonts w:hint="eastAsia" w:ascii="方正仿宋简体" w:hAnsi="方正仿宋简体" w:eastAsia="方正仿宋简体" w:cs="方正仿宋简体"/>
          <w:sz w:val="34"/>
          <w:szCs w:val="34"/>
          <w:lang w:val="en-US" w:eastAsia="zh-CN"/>
        </w:rPr>
        <w:t>天津君合工程咨询有限公司</w:t>
      </w:r>
      <w:r>
        <w:rPr>
          <w:rFonts w:hint="eastAsia" w:ascii="方正仿宋简体" w:hAnsi="方正仿宋简体" w:eastAsia="方正仿宋简体" w:cs="方正仿宋简体"/>
          <w:sz w:val="34"/>
          <w:szCs w:val="34"/>
        </w:rPr>
        <w:t>开展本规划的社会稳定风险评估工作。根据《</w:t>
      </w:r>
      <w:r>
        <w:rPr>
          <w:rFonts w:hint="eastAsia" w:ascii="方正仿宋简体" w:hAnsi="方正仿宋简体" w:eastAsia="方正仿宋简体" w:cs="方正仿宋简体"/>
          <w:sz w:val="34"/>
          <w:szCs w:val="34"/>
          <w:lang w:val="en-US" w:eastAsia="zh-CN"/>
        </w:rPr>
        <w:t>天津市重大行政决策风险评估工作规则</w:t>
      </w:r>
      <w:r>
        <w:rPr>
          <w:rFonts w:hint="eastAsia" w:ascii="方正仿宋简体" w:hAnsi="方正仿宋简体" w:eastAsia="方正仿宋简体" w:cs="方正仿宋简体"/>
          <w:sz w:val="34"/>
          <w:szCs w:val="34"/>
        </w:rPr>
        <w:t>》</w:t>
      </w:r>
      <w:r>
        <w:rPr>
          <w:rFonts w:hint="eastAsia" w:ascii="方正仿宋简体" w:hAnsi="方正仿宋简体" w:eastAsia="方正仿宋简体" w:cs="方正仿宋简体"/>
          <w:sz w:val="34"/>
          <w:szCs w:val="34"/>
          <w:lang w:eastAsia="zh-CN"/>
        </w:rPr>
        <w:t>《宝坻区重大行政决策风险评估工作规则》</w:t>
      </w:r>
      <w:r>
        <w:rPr>
          <w:rFonts w:hint="eastAsia" w:ascii="方正仿宋简体" w:hAnsi="方正仿宋简体" w:eastAsia="方正仿宋简体" w:cs="方正仿宋简体"/>
          <w:sz w:val="34"/>
          <w:szCs w:val="34"/>
          <w:lang w:val="en-US" w:eastAsia="zh-CN"/>
        </w:rPr>
        <w:t>等文件</w:t>
      </w:r>
      <w:r>
        <w:rPr>
          <w:rFonts w:hint="eastAsia" w:ascii="方正仿宋简体" w:hAnsi="方正仿宋简体" w:eastAsia="方正仿宋简体" w:cs="方正仿宋简体"/>
          <w:sz w:val="34"/>
          <w:szCs w:val="34"/>
        </w:rPr>
        <w:t>要求，现将该规划社会稳定风险评估的相关事项公示如下：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rPr>
      </w:pPr>
      <w:r>
        <w:rPr>
          <w:rFonts w:hint="eastAsia" w:ascii="黑体" w:hAnsi="黑体" w:eastAsia="黑体" w:cs="黑体"/>
          <w:sz w:val="34"/>
          <w:szCs w:val="34"/>
        </w:rPr>
        <w:t>一、项目概要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lang w:val="en-US" w:eastAsia="zh-CN"/>
        </w:rPr>
        <w:t>1.</w:t>
      </w:r>
      <w:r>
        <w:rPr>
          <w:rFonts w:hint="eastAsia" w:ascii="方正楷体简体" w:hAnsi="方正楷体简体" w:eastAsia="方正楷体简体" w:cs="方正楷体简体"/>
          <w:sz w:val="34"/>
          <w:szCs w:val="34"/>
        </w:rPr>
        <w:t>文件名称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《天津市宝坻区水土保持规划》（2022</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rPr>
        <w:t>2035年）（征求意见稿）》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lang w:val="en-US" w:eastAsia="zh-CN"/>
        </w:rPr>
        <w:t>2.规划</w:t>
      </w:r>
      <w:r>
        <w:rPr>
          <w:rFonts w:hint="eastAsia" w:ascii="方正楷体简体" w:hAnsi="方正楷体简体" w:eastAsia="方正楷体简体" w:cs="方正楷体简体"/>
          <w:sz w:val="34"/>
          <w:szCs w:val="34"/>
        </w:rPr>
        <w:t>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到2025年，初步建成与宝坻区经济社会发展相适应的水土流失综合防治体系。水土保持率在2021年99.82%的基础上，达到99.88%，新增治理水土流失面积0.96km</w:t>
      </w:r>
      <w:r>
        <w:rPr>
          <w:rFonts w:hint="eastAsia" w:ascii="方正仿宋简体" w:hAnsi="方正仿宋简体" w:eastAsia="方正仿宋简体" w:cs="方正仿宋简体"/>
          <w:sz w:val="34"/>
          <w:szCs w:val="34"/>
          <w:vertAlign w:val="superscript"/>
        </w:rPr>
        <w:t>2</w:t>
      </w:r>
      <w:r>
        <w:rPr>
          <w:rFonts w:hint="eastAsia" w:ascii="方正仿宋简体" w:hAnsi="方正仿宋简体" w:eastAsia="方正仿宋简体" w:cs="方正仿宋简体"/>
          <w:sz w:val="34"/>
          <w:szCs w:val="34"/>
        </w:rPr>
        <w:t>。搞好耕地保护与改良、减少耕地水土流失；河流湿地生态修复与保护，河流湿地健康生命得到基本维护；逐步推进海绵城市建设；生产建设项目水土保持工作水平得到提升；形成与水土保持法相配套的法规和制度体系，水土保持监督执法能力稳步提升，人为水土流失得以有效控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到2035年，全面预防，打造完成绿色、生态、宜居宝坻。水土保持率达到99.92%以上，与2021年相比，新增治理水土流失面积1.56km</w:t>
      </w:r>
      <w:r>
        <w:rPr>
          <w:rFonts w:hint="eastAsia" w:ascii="方正仿宋简体" w:hAnsi="方正仿宋简体" w:eastAsia="方正仿宋简体" w:cs="方正仿宋简体"/>
          <w:sz w:val="34"/>
          <w:szCs w:val="34"/>
          <w:vertAlign w:val="superscript"/>
        </w:rPr>
        <w:t>2</w:t>
      </w:r>
      <w:r>
        <w:rPr>
          <w:rFonts w:hint="eastAsia" w:ascii="方正仿宋简体" w:hAnsi="方正仿宋简体" w:eastAsia="方正仿宋简体" w:cs="方正仿宋简体"/>
          <w:sz w:val="34"/>
          <w:szCs w:val="34"/>
        </w:rPr>
        <w:t>。宝坻境内农田耕地水土流失基本得到治理，基本实现保护性耕作和节水灌溉全覆盖；河道重点区域水土流失基本得到治理，一、二级河道全面形成生态网络；进一步加大海绵城市建设；建成完善的水土保持法规和制度体系，以及完备的水土保持监督执法能力，生产建设项目“三同时”制度得到全面落实，生产建设活动导致的人为水土流失得到全面控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3.规划任务</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根据天津市和宝坻区水土保持区划确定的各区域的主要水土保持主导功能，本次规划任务为防治水土流失，保护和建设林草植被，保护耕地资源，改善农村生产生活条件，提高水源涵养能力，改善生态环境和人居环境，减少进入河湖的泥沙，维护饮用水安全，促进经济社会可持续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rPr>
      </w:pPr>
      <w:r>
        <w:rPr>
          <w:rFonts w:hint="eastAsia" w:ascii="黑体" w:hAnsi="黑体" w:eastAsia="黑体" w:cs="黑体"/>
          <w:sz w:val="34"/>
          <w:szCs w:val="34"/>
        </w:rPr>
        <w:t>二、规划发布单位名称和联系方式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rPr>
        <w:t>单位名称：</w:t>
      </w:r>
      <w:r>
        <w:rPr>
          <w:rFonts w:hint="eastAsia" w:ascii="方正仿宋简体" w:hAnsi="方正仿宋简体" w:eastAsia="方正仿宋简体" w:cs="方正仿宋简体"/>
          <w:sz w:val="34"/>
          <w:szCs w:val="34"/>
          <w:lang w:eastAsia="zh-CN"/>
        </w:rPr>
        <w:t>天津市宝坻区水务局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highlight w:val="none"/>
          <w:lang w:eastAsia="zh-CN"/>
        </w:rPr>
      </w:pPr>
      <w:r>
        <w:rPr>
          <w:rFonts w:hint="eastAsia" w:ascii="方正仿宋简体" w:hAnsi="方正仿宋简体" w:eastAsia="方正仿宋简体" w:cs="方正仿宋简体"/>
          <w:sz w:val="34"/>
          <w:szCs w:val="34"/>
          <w:highlight w:val="none"/>
          <w:lang w:eastAsia="zh-CN"/>
        </w:rPr>
        <w:t>通讯地址：天津市宝坻区宝平街道建设路157号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highlight w:val="none"/>
          <w:lang w:val="en-US" w:eastAsia="zh-CN"/>
        </w:rPr>
      </w:pPr>
      <w:r>
        <w:rPr>
          <w:rFonts w:hint="eastAsia" w:ascii="方正仿宋简体" w:hAnsi="方正仿宋简体" w:eastAsia="方正仿宋简体" w:cs="方正仿宋简体"/>
          <w:sz w:val="34"/>
          <w:szCs w:val="34"/>
          <w:highlight w:val="none"/>
          <w:lang w:val="en-US" w:eastAsia="zh-CN"/>
        </w:rPr>
        <w:t>联 系 人：</w:t>
      </w:r>
      <w:r>
        <w:rPr>
          <w:rFonts w:hint="eastAsia" w:ascii="方正仿宋简体" w:hAnsi="方正仿宋简体" w:eastAsia="方正仿宋简体" w:cs="方正仿宋简体"/>
          <w:sz w:val="34"/>
          <w:szCs w:val="34"/>
          <w:highlight w:val="none"/>
          <w:lang w:eastAsia="zh-CN"/>
        </w:rPr>
        <w:t>王寅波</w:t>
      </w:r>
      <w:r>
        <w:rPr>
          <w:rFonts w:hint="eastAsia" w:ascii="方正仿宋简体" w:hAnsi="方正仿宋简体" w:eastAsia="方正仿宋简体" w:cs="方正仿宋简体"/>
          <w:sz w:val="34"/>
          <w:szCs w:val="34"/>
          <w:highlight w:val="none"/>
          <w:lang w:val="en-US" w:eastAsia="zh-CN"/>
        </w:rPr>
        <w:t xml:space="preserve">       联系电话：</w:t>
      </w:r>
      <w:r>
        <w:rPr>
          <w:rFonts w:hint="eastAsia" w:ascii="方正仿宋简体" w:hAnsi="方正仿宋简体" w:eastAsia="方正仿宋简体" w:cs="方正仿宋简体"/>
          <w:sz w:val="34"/>
          <w:szCs w:val="34"/>
          <w:highlight w:val="none"/>
          <w:lang w:eastAsia="zh-CN"/>
        </w:rPr>
        <w:t>022-29231921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联系邮箱： bdqswj@tj.gov.cn </w:t>
      </w:r>
      <w:r>
        <w:rPr>
          <w:rFonts w:hint="eastAsia" w:ascii="方正仿宋简体" w:hAnsi="方正仿宋简体" w:eastAsia="方正仿宋简体" w:cs="方正仿宋简体"/>
          <w:sz w:val="34"/>
          <w:szCs w:val="34"/>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三、评估单位名称和联系方式</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单位名称：天津君合工程咨询有限公司</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通讯地址：天津市滨海新区杨家泊镇水岸家园小区5号楼1门101室B区</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联 系 人：宋玉茹       联系电话：15122342787</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联系邮箱：</w:t>
      </w:r>
      <w:r>
        <w:rPr>
          <w:rFonts w:hint="eastAsia" w:ascii="方正仿宋简体" w:hAnsi="方正仿宋简体" w:eastAsia="方正仿宋简体" w:cs="方正仿宋简体"/>
          <w:kern w:val="0"/>
          <w:sz w:val="34"/>
          <w:szCs w:val="34"/>
        </w:rPr>
        <w:t>tjjhgczx2@126.com</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四、征求公众意见的主要事项</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1、对实施该决策事项的态度；</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2、实施该决策事项可能产生的社会稳定风险；</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3、实施该决策事项的其他意见和建议。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五、社会稳定风险调查主要方式</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公众可以扫描下方二维码填写调查问卷，或者通过信函、电话电子邮件、传真等方式向上述咨询机构提出自己的意见。</w:t>
      </w:r>
    </w:p>
    <w:p>
      <w:pPr>
        <w:pStyle w:val="5"/>
        <w:keepNext w:val="0"/>
        <w:keepLines w:val="0"/>
        <w:pageBreakBefore w:val="0"/>
        <w:widowControl w:val="0"/>
        <w:kinsoku/>
        <w:wordWrap/>
        <w:overflowPunct/>
        <w:topLinePunct w:val="0"/>
        <w:autoSpaceDE/>
        <w:autoSpaceDN/>
        <w:bidi w:val="0"/>
        <w:adjustRightInd/>
        <w:snapToGrid/>
        <w:spacing w:line="556" w:lineRule="exact"/>
        <w:ind w:right="0" w:firstLine="420" w:firstLineChars="200"/>
        <w:jc w:val="both"/>
        <w:textAlignment w:val="auto"/>
        <w:rPr>
          <w:rFonts w:hint="eastAsia" w:ascii="Times New Roman" w:hAnsi="Times New Roman" w:eastAsia="仿宋" w:cs="仿宋"/>
          <w:kern w:val="0"/>
          <w:sz w:val="30"/>
          <w:szCs w:val="30"/>
          <w:lang w:val="en-US" w:eastAsia="zh-CN" w:bidi="ar"/>
        </w:rPr>
      </w:pPr>
      <w:r>
        <w:rPr>
          <w:rFonts w:ascii="Times New Roman" w:hAnsi="Times New Roman"/>
        </w:rPr>
        <w:drawing>
          <wp:anchor distT="0" distB="0" distL="114300" distR="114300" simplePos="0" relativeHeight="251659264" behindDoc="0" locked="0" layoutInCell="1" allowOverlap="1">
            <wp:simplePos x="0" y="0"/>
            <wp:positionH relativeFrom="column">
              <wp:posOffset>2124075</wp:posOffset>
            </wp:positionH>
            <wp:positionV relativeFrom="paragraph">
              <wp:posOffset>138430</wp:posOffset>
            </wp:positionV>
            <wp:extent cx="1206500" cy="1155700"/>
            <wp:effectExtent l="0" t="0" r="3175" b="6350"/>
            <wp:wrapSquare wrapText="bothSides"/>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4"/>
                    <a:stretch>
                      <a:fillRect/>
                    </a:stretch>
                  </pic:blipFill>
                  <pic:spPr>
                    <a:xfrm>
                      <a:off x="0" y="0"/>
                      <a:ext cx="1206500" cy="1155700"/>
                    </a:xfrm>
                    <a:prstGeom prst="rect">
                      <a:avLst/>
                    </a:prstGeom>
                    <a:noFill/>
                    <a:ln>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eastAsia" w:ascii="黑体" w:hAnsi="黑体" w:eastAsia="黑体" w:cs="黑体"/>
          <w:sz w:val="34"/>
          <w:szCs w:val="3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right="0" w:firstLine="680" w:firstLineChars="200"/>
        <w:jc w:val="both"/>
        <w:textAlignment w:val="auto"/>
        <w:rPr>
          <w:rFonts w:hint="default" w:ascii="黑体" w:hAnsi="黑体" w:eastAsia="黑体" w:cs="黑体"/>
          <w:sz w:val="34"/>
          <w:szCs w:val="34"/>
          <w:lang w:val="en-US" w:eastAsia="zh-CN"/>
        </w:rPr>
      </w:pPr>
      <w:r>
        <w:rPr>
          <w:rFonts w:hint="eastAsia" w:ascii="黑体" w:hAnsi="黑体" w:eastAsia="黑体" w:cs="黑体"/>
          <w:sz w:val="34"/>
          <w:szCs w:val="34"/>
          <w:lang w:val="en-US" w:eastAsia="zh-CN"/>
        </w:rPr>
        <w:t>六、公示截止时间</w:t>
      </w:r>
    </w:p>
    <w:p>
      <w:pPr>
        <w:pStyle w:val="5"/>
        <w:keepNext w:val="0"/>
        <w:keepLines w:val="0"/>
        <w:pageBreakBefore w:val="0"/>
        <w:widowControl w:val="0"/>
        <w:kinsoku w:val="0"/>
        <w:wordWrap/>
        <w:overflowPunct w:val="0"/>
        <w:topLinePunct w:val="0"/>
        <w:autoSpaceDE w:val="0"/>
        <w:autoSpaceDN w:val="0"/>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lang w:val="en-US" w:eastAsia="zh-CN" w:bidi="ar"/>
        </w:rPr>
      </w:pPr>
      <w:r>
        <w:rPr>
          <w:rFonts w:hint="eastAsia" w:ascii="方正仿宋简体" w:hAnsi="方正仿宋简体" w:eastAsia="方正仿宋简体" w:cs="方正仿宋简体"/>
          <w:kern w:val="0"/>
          <w:sz w:val="34"/>
          <w:szCs w:val="34"/>
          <w:lang w:val="en-US" w:eastAsia="zh-CN" w:bidi="ar"/>
        </w:rPr>
        <w:t>本公示有效期为自公告之日起10个工作日内，于2023年12月</w:t>
      </w:r>
      <w:r>
        <w:rPr>
          <w:rFonts w:hint="default" w:ascii="方正仿宋简体" w:hAnsi="方正仿宋简体" w:eastAsia="方正仿宋简体" w:cs="方正仿宋简体"/>
          <w:kern w:val="0"/>
          <w:sz w:val="34"/>
          <w:szCs w:val="34"/>
          <w:lang w:val="en" w:eastAsia="zh-CN" w:bidi="ar"/>
        </w:rPr>
        <w:t>8</w:t>
      </w:r>
      <w:r>
        <w:rPr>
          <w:rFonts w:hint="eastAsia" w:ascii="方正仿宋简体" w:hAnsi="方正仿宋简体" w:eastAsia="方正仿宋简体" w:cs="方正仿宋简体"/>
          <w:kern w:val="0"/>
          <w:sz w:val="34"/>
          <w:szCs w:val="34"/>
          <w:lang w:val="en-US" w:eastAsia="zh-CN" w:bidi="ar"/>
        </w:rPr>
        <w:t>日截止。</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ind w:right="0"/>
        <w:jc w:val="left"/>
        <w:textAlignment w:val="auto"/>
        <w:rPr>
          <w:rFonts w:hint="eastAsia" w:ascii="Times New Roman" w:hAnsi="Times New Roman" w:eastAsia="仿宋" w:cs="仿宋"/>
          <w:kern w:val="0"/>
          <w:sz w:val="30"/>
          <w:szCs w:val="30"/>
          <w:highlight w:val="none"/>
          <w:lang w:val="en-US" w:eastAsia="zh-CN" w:bidi="ar"/>
        </w:rPr>
      </w:pPr>
      <w:r>
        <w:rPr>
          <w:rFonts w:hint="eastAsia" w:ascii="方正仿宋简体" w:hAnsi="方正仿宋简体" w:eastAsia="方正仿宋简体" w:cs="方正仿宋简体"/>
          <w:kern w:val="0"/>
          <w:sz w:val="34"/>
          <w:szCs w:val="34"/>
          <w:lang w:val="en-US" w:eastAsia="zh-CN" w:bidi="ar"/>
        </w:rPr>
        <w:t>《天津市宝坻区水土保持规划（</w:t>
      </w:r>
      <w:r>
        <w:rPr>
          <w:rFonts w:hint="default" w:ascii="方正仿宋简体" w:hAnsi="方正仿宋简体" w:eastAsia="方正仿宋简体" w:cs="方正仿宋简体"/>
          <w:kern w:val="0"/>
          <w:sz w:val="34"/>
          <w:szCs w:val="34"/>
          <w:lang w:val="en-US" w:eastAsia="zh-CN" w:bidi="ar"/>
        </w:rPr>
        <w:t>2022</w:t>
      </w:r>
      <w:r>
        <w:rPr>
          <w:rFonts w:hint="eastAsia" w:ascii="方正仿宋简体" w:hAnsi="方正仿宋简体" w:eastAsia="方正仿宋简体" w:cs="方正仿宋简体"/>
          <w:kern w:val="0"/>
          <w:sz w:val="34"/>
          <w:szCs w:val="34"/>
          <w:lang w:val="en-US" w:eastAsia="zh-CN" w:bidi="ar"/>
        </w:rPr>
        <w:t>～</w:t>
      </w:r>
      <w:r>
        <w:rPr>
          <w:rFonts w:hint="default" w:ascii="方正仿宋简体" w:hAnsi="方正仿宋简体" w:eastAsia="方正仿宋简体" w:cs="方正仿宋简体"/>
          <w:kern w:val="0"/>
          <w:sz w:val="34"/>
          <w:szCs w:val="34"/>
          <w:lang w:val="en-US" w:eastAsia="zh-CN" w:bidi="ar"/>
        </w:rPr>
        <w:t>2035</w:t>
      </w:r>
      <w:r>
        <w:rPr>
          <w:rFonts w:hint="eastAsia" w:ascii="方正仿宋简体" w:hAnsi="方正仿宋简体" w:eastAsia="方正仿宋简体" w:cs="方正仿宋简体"/>
          <w:kern w:val="0"/>
          <w:sz w:val="34"/>
          <w:szCs w:val="34"/>
          <w:lang w:val="en-US" w:eastAsia="zh-CN" w:bidi="ar"/>
        </w:rPr>
        <w:t>年）（征求意见稿）》已在宝坻区人民政府官网予以公示，征询期为30天，网址为：</w:t>
      </w:r>
      <w:bookmarkStart w:id="0" w:name="_GoBack"/>
      <w:bookmarkEnd w:id="0"/>
      <w:r>
        <w:rPr>
          <w:rFonts w:hint="eastAsia" w:ascii="Times New Roman" w:hAnsi="Times New Roman" w:eastAsia="仿宋" w:cs="仿宋"/>
          <w:color w:val="auto"/>
          <w:kern w:val="0"/>
          <w:sz w:val="34"/>
          <w:szCs w:val="34"/>
          <w:highlight w:val="none"/>
          <w:u w:val="none"/>
          <w:lang w:val="en-US" w:eastAsia="zh-CN" w:bidi="ar"/>
        </w:rPr>
        <w:t>https://www.tjbd.gov.cn/zwgk/zdjcygk/202311/t20231113_6454706.html。</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left"/>
        <w:textAlignment w:val="auto"/>
        <w:rPr>
          <w:rFonts w:hint="eastAsia" w:ascii="方正仿宋简体" w:hAnsi="方正仿宋简体" w:eastAsia="方正仿宋简体" w:cs="方正仿宋简体"/>
          <w:kern w:val="0"/>
          <w:sz w:val="34"/>
          <w:szCs w:val="34"/>
          <w:lang w:val="en-US" w:eastAsia="zh-CN" w:bidi="ar"/>
        </w:rPr>
      </w:pPr>
    </w:p>
    <w:p>
      <w:pPr>
        <w:pStyle w:val="5"/>
        <w:keepNext w:val="0"/>
        <w:keepLines w:val="0"/>
        <w:pageBreakBefore w:val="0"/>
        <w:kinsoku/>
        <w:wordWrap/>
        <w:overflowPunct/>
        <w:topLinePunct w:val="0"/>
        <w:autoSpaceDE/>
        <w:autoSpaceDN/>
        <w:bidi w:val="0"/>
        <w:adjustRightInd/>
        <w:snapToGrid/>
        <w:spacing w:line="556" w:lineRule="exact"/>
        <w:ind w:right="0" w:firstLine="600" w:firstLineChars="200"/>
        <w:jc w:val="both"/>
        <w:textAlignment w:val="auto"/>
        <w:rPr>
          <w:rFonts w:hint="eastAsia" w:ascii="方正仿宋简体" w:hAnsi="方正仿宋简体" w:eastAsia="方正仿宋简体" w:cs="方正仿宋简体"/>
          <w:kern w:val="0"/>
          <w:sz w:val="30"/>
          <w:szCs w:val="30"/>
          <w:highlight w:val="none"/>
          <w:lang w:val="en-US" w:eastAsia="zh-CN" w:bidi="ar"/>
        </w:rPr>
      </w:pP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hAnsi="方正仿宋简体" w:eastAsia="方正仿宋简体" w:cs="方正仿宋简体"/>
          <w:kern w:val="0"/>
          <w:sz w:val="34"/>
          <w:szCs w:val="34"/>
          <w:highlight w:val="none"/>
          <w:lang w:val="en-US" w:eastAsia="zh-CN" w:bidi="ar"/>
        </w:rPr>
      </w:pPr>
      <w:r>
        <w:rPr>
          <w:rFonts w:hint="eastAsia" w:ascii="方正仿宋简体" w:hAnsi="方正仿宋简体" w:eastAsia="方正仿宋简体" w:cs="方正仿宋简体"/>
          <w:kern w:val="0"/>
          <w:sz w:val="34"/>
          <w:szCs w:val="34"/>
          <w:highlight w:val="none"/>
          <w:lang w:val="en-US" w:eastAsia="zh-CN" w:bidi="ar"/>
        </w:rPr>
        <w:t xml:space="preserve">                           天津市宝坻区水务局</w:t>
      </w:r>
    </w:p>
    <w:p>
      <w:pPr>
        <w:pStyle w:val="5"/>
        <w:keepNext w:val="0"/>
        <w:keepLines w:val="0"/>
        <w:pageBreakBefore w:val="0"/>
        <w:kinsoku/>
        <w:wordWrap/>
        <w:overflowPunct/>
        <w:topLinePunct w:val="0"/>
        <w:autoSpaceDE/>
        <w:autoSpaceDN/>
        <w:bidi w:val="0"/>
        <w:adjustRightInd/>
        <w:snapToGrid/>
        <w:spacing w:line="556" w:lineRule="exact"/>
        <w:ind w:right="0" w:firstLine="680" w:firstLineChars="200"/>
        <w:jc w:val="both"/>
        <w:textAlignment w:val="auto"/>
        <w:rPr>
          <w:rFonts w:hint="eastAsia" w:ascii="方正仿宋简体" w:eastAsia="方正仿宋简体"/>
          <w:sz w:val="34"/>
          <w:szCs w:val="34"/>
        </w:rPr>
      </w:pPr>
      <w:r>
        <w:rPr>
          <w:rFonts w:hint="eastAsia" w:ascii="方正仿宋简体" w:hAnsi="方正仿宋简体" w:eastAsia="方正仿宋简体" w:cs="方正仿宋简体"/>
          <w:kern w:val="0"/>
          <w:sz w:val="34"/>
          <w:szCs w:val="34"/>
          <w:highlight w:val="none"/>
          <w:lang w:val="en-US" w:eastAsia="zh-CN" w:bidi="ar"/>
        </w:rPr>
        <w:t xml:space="preserve">                               2023年11月27日</w:t>
      </w:r>
    </w:p>
    <w:p/>
    <w:sectPr>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B767DA1"/>
    <w:rsid w:val="6DFF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正文++"/>
    <w:basedOn w:val="1"/>
    <w:qFormat/>
    <w:uiPriority w:val="0"/>
    <w:pPr>
      <w:spacing w:line="460" w:lineRule="exact"/>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2023-11-30T19:17:00Z</dcterms:created>
  <dc:creator>51318</dc:creator>
  <cp:lastModifiedBy>kylin</cp:lastModifiedBy>
  <dcterms:modified xsi:type="dcterms:W3CDTF">2023-12-01T09:31:01Z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AD483D95F5854FA8AD671989938856E0_12</vt:lpwstr>
  </property>
</Properties>
</file>