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简体" w:hAnsi="方正小标宋_GBK" w:eastAsia="方正小标宋简体"/>
          <w:b w:val="0"/>
          <w:bCs w:val="0"/>
          <w:sz w:val="30"/>
        </w:rPr>
      </w:pPr>
      <w:bookmarkStart w:id="0" w:name="_Toc24724716"/>
      <w:r>
        <w:rPr>
          <w:rFonts w:hint="eastAsia" w:ascii="方正小标宋简体" w:hAnsi="方正小标宋_GBK" w:eastAsia="方正小标宋简体"/>
          <w:b w:val="0"/>
          <w:bCs w:val="0"/>
          <w:sz w:val="30"/>
        </w:rPr>
        <w:t>环境保护领域基层政务公开标准目录</w:t>
      </w:r>
      <w:bookmarkEnd w:id="0"/>
    </w:p>
    <w:tbl>
      <w:tblPr>
        <w:tblStyle w:val="5"/>
        <w:tblW w:w="15222"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900"/>
        <w:gridCol w:w="1962"/>
        <w:gridCol w:w="2205"/>
        <w:gridCol w:w="1500"/>
        <w:gridCol w:w="1290"/>
        <w:gridCol w:w="1770"/>
        <w:gridCol w:w="660"/>
        <w:gridCol w:w="780"/>
        <w:gridCol w:w="705"/>
        <w:gridCol w:w="765"/>
        <w:gridCol w:w="675"/>
        <w:gridCol w:w="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62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62"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205"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50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90" w:type="dxa"/>
            <w:vMerge w:val="restart"/>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1770" w:type="dxa"/>
            <w:vMerge w:val="restart"/>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4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470"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25" w:type="dxa"/>
            <w:gridSpan w:val="2"/>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Times New Roman" w:hAnsi="Times New Roman"/>
                <w:color w:val="000000"/>
                <w:kern w:val="0"/>
                <w:sz w:val="22"/>
              </w:rPr>
            </w:pPr>
          </w:p>
        </w:tc>
        <w:tc>
          <w:tcPr>
            <w:tcW w:w="72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90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62" w:type="dxa"/>
            <w:vMerge w:val="continue"/>
            <w:vAlign w:val="center"/>
          </w:tcPr>
          <w:p>
            <w:pPr>
              <w:widowControl/>
              <w:jc w:val="left"/>
              <w:rPr>
                <w:rFonts w:ascii="黑体" w:hAnsi="宋体" w:eastAsia="黑体" w:cs="宋体"/>
                <w:color w:val="000000"/>
                <w:kern w:val="0"/>
                <w:sz w:val="22"/>
              </w:rPr>
            </w:pPr>
          </w:p>
        </w:tc>
        <w:tc>
          <w:tcPr>
            <w:tcW w:w="2205" w:type="dxa"/>
            <w:vMerge w:val="continue"/>
            <w:vAlign w:val="center"/>
          </w:tcPr>
          <w:p>
            <w:pPr>
              <w:widowControl/>
              <w:jc w:val="left"/>
              <w:rPr>
                <w:rFonts w:ascii="黑体" w:hAnsi="宋体" w:eastAsia="黑体" w:cs="宋体"/>
                <w:color w:val="000000"/>
                <w:kern w:val="0"/>
                <w:sz w:val="22"/>
              </w:rPr>
            </w:pPr>
          </w:p>
        </w:tc>
        <w:tc>
          <w:tcPr>
            <w:tcW w:w="1500" w:type="dxa"/>
            <w:vMerge w:val="continue"/>
            <w:vAlign w:val="center"/>
          </w:tcPr>
          <w:p>
            <w:pPr>
              <w:widowControl/>
              <w:jc w:val="left"/>
              <w:rPr>
                <w:rFonts w:ascii="黑体" w:hAnsi="宋体" w:eastAsia="黑体" w:cs="宋体"/>
                <w:color w:val="000000"/>
                <w:kern w:val="0"/>
                <w:sz w:val="22"/>
              </w:rPr>
            </w:pPr>
          </w:p>
        </w:tc>
        <w:tc>
          <w:tcPr>
            <w:tcW w:w="1290" w:type="dxa"/>
            <w:vMerge w:val="continue"/>
            <w:vAlign w:val="center"/>
          </w:tcPr>
          <w:p>
            <w:pPr>
              <w:widowControl/>
              <w:jc w:val="left"/>
              <w:rPr>
                <w:rFonts w:ascii="黑体" w:hAnsi="宋体" w:eastAsia="黑体" w:cs="宋体"/>
                <w:color w:val="000000"/>
                <w:kern w:val="0"/>
                <w:sz w:val="22"/>
              </w:rPr>
            </w:pPr>
          </w:p>
        </w:tc>
        <w:tc>
          <w:tcPr>
            <w:tcW w:w="1770" w:type="dxa"/>
            <w:vMerge w:val="continue"/>
            <w:vAlign w:val="center"/>
          </w:tcPr>
          <w:p>
            <w:pPr>
              <w:widowControl/>
              <w:jc w:val="left"/>
              <w:rPr>
                <w:rFonts w:ascii="黑体" w:hAnsi="宋体" w:eastAsia="黑体" w:cs="宋体"/>
                <w:kern w:val="0"/>
                <w:sz w:val="22"/>
              </w:rPr>
            </w:pPr>
          </w:p>
        </w:tc>
        <w:tc>
          <w:tcPr>
            <w:tcW w:w="66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8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705"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65"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675"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50" w:type="dxa"/>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1</w:t>
            </w:r>
          </w:p>
        </w:tc>
        <w:tc>
          <w:tcPr>
            <w:tcW w:w="720" w:type="dxa"/>
            <w:vAlign w:val="center"/>
          </w:tcPr>
          <w:p>
            <w:pPr>
              <w:adjustRightInd w:val="0"/>
              <w:snapToGrid w:val="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行政</w:t>
            </w:r>
            <w:r>
              <w:rPr>
                <w:rFonts w:ascii="仿宋_GB2312" w:hAnsi="宋体" w:eastAsia="仿宋_GB2312"/>
                <w:color w:val="000000" w:themeColor="text1"/>
                <w:sz w:val="18"/>
                <w:szCs w:val="18"/>
              </w:rPr>
              <w:br w:type="textWrapping"/>
            </w:r>
            <w:r>
              <w:rPr>
                <w:rFonts w:ascii="仿宋_GB2312" w:hAnsi="宋体" w:eastAsia="仿宋_GB2312"/>
                <w:color w:val="000000" w:themeColor="text1"/>
                <w:sz w:val="18"/>
                <w:szCs w:val="18"/>
              </w:rPr>
              <w:t>许可</w:t>
            </w:r>
          </w:p>
        </w:tc>
        <w:tc>
          <w:tcPr>
            <w:tcW w:w="900" w:type="dxa"/>
            <w:vAlign w:val="center"/>
          </w:tcPr>
          <w:p>
            <w:pPr>
              <w:adjustRightInd w:val="0"/>
              <w:snapToGrid w:val="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建设项目环境影响评价文件审批</w:t>
            </w:r>
          </w:p>
        </w:tc>
        <w:tc>
          <w:tcPr>
            <w:tcW w:w="1962" w:type="dxa"/>
            <w:vAlign w:val="center"/>
          </w:tcPr>
          <w:p>
            <w:pPr>
              <w:pStyle w:val="7"/>
              <w:adjustRightInd w:val="0"/>
              <w:snapToGrid w:val="0"/>
              <w:ind w:firstLine="0" w:firstLineChars="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受理环节：受理情况公示、</w:t>
            </w:r>
            <w:r>
              <w:rPr>
                <w:rFonts w:ascii="仿宋_GB2312" w:hAnsi="宋体" w:eastAsia="仿宋_GB2312"/>
                <w:color w:val="000000" w:themeColor="text1"/>
                <w:sz w:val="18"/>
                <w:szCs w:val="18"/>
              </w:rPr>
              <w:t>报告书（</w:t>
            </w:r>
            <w:r>
              <w:rPr>
                <w:rFonts w:hint="eastAsia" w:ascii="仿宋_GB2312" w:hAnsi="宋体" w:eastAsia="仿宋_GB2312"/>
                <w:color w:val="000000" w:themeColor="text1"/>
                <w:sz w:val="18"/>
                <w:szCs w:val="18"/>
              </w:rPr>
              <w:t>表</w:t>
            </w:r>
            <w:r>
              <w:rPr>
                <w:rFonts w:ascii="仿宋_GB2312" w:hAnsi="宋体" w:eastAsia="仿宋_GB2312"/>
                <w:color w:val="000000" w:themeColor="text1"/>
                <w:sz w:val="18"/>
                <w:szCs w:val="18"/>
              </w:rPr>
              <w:t>）</w:t>
            </w:r>
            <w:r>
              <w:rPr>
                <w:rFonts w:hint="eastAsia" w:ascii="仿宋_GB2312" w:hAnsi="宋体" w:eastAsia="仿宋_GB2312"/>
                <w:color w:val="000000" w:themeColor="text1"/>
                <w:sz w:val="18"/>
                <w:szCs w:val="18"/>
              </w:rPr>
              <w:t>全本；拟决定环节：拟审查</w:t>
            </w:r>
            <w:r>
              <w:rPr>
                <w:rFonts w:ascii="仿宋_GB2312" w:hAnsi="宋体" w:eastAsia="仿宋_GB2312"/>
                <w:color w:val="000000" w:themeColor="text1"/>
                <w:sz w:val="18"/>
                <w:szCs w:val="18"/>
              </w:rPr>
              <w:t>环评文件基本情况公示</w:t>
            </w:r>
            <w:r>
              <w:rPr>
                <w:rFonts w:hint="eastAsia" w:ascii="仿宋_GB2312" w:hAnsi="宋体" w:eastAsia="仿宋_GB2312"/>
                <w:color w:val="000000" w:themeColor="text1"/>
                <w:sz w:val="18"/>
                <w:szCs w:val="18"/>
              </w:rPr>
              <w:t>；决定环节：环评批复</w:t>
            </w:r>
          </w:p>
        </w:tc>
        <w:tc>
          <w:tcPr>
            <w:tcW w:w="2205" w:type="dxa"/>
            <w:vAlign w:val="center"/>
          </w:tcPr>
          <w:p>
            <w:pPr>
              <w:adjustRightInd w:val="0"/>
              <w:snapToGrid w:val="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行政许可法》《政府信息公开条例》《中华人民共和国环境保护法》（中华人民共和国主席令第九号）《中华人民共和国环境影响评价法》（2018年12月29日第二次修正）《国家环境保护总局建设项目环境影响评价文件审批程序规定》（2005年总局令第29号）</w:t>
            </w:r>
          </w:p>
        </w:tc>
        <w:tc>
          <w:tcPr>
            <w:tcW w:w="1500" w:type="dxa"/>
            <w:vAlign w:val="center"/>
          </w:tcPr>
          <w:p>
            <w:pPr>
              <w:adjustRightInd w:val="0"/>
              <w:snapToGrid w:val="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■天津网上办事大厅</w:t>
            </w:r>
          </w:p>
        </w:tc>
        <w:tc>
          <w:tcPr>
            <w:tcW w:w="660" w:type="dxa"/>
            <w:vAlign w:val="center"/>
          </w:tcPr>
          <w:p>
            <w:pPr>
              <w:adjustRightInd w:val="0"/>
              <w:snapToGrid w:val="0"/>
              <w:jc w:val="center"/>
              <w:rPr>
                <w:rFonts w:ascii="仿宋_GB2312" w:hAnsi="宋体" w:eastAsia="仿宋_GB2312"/>
                <w:color w:val="000000" w:themeColor="text1"/>
                <w:sz w:val="18"/>
                <w:szCs w:val="18"/>
              </w:rPr>
            </w:pPr>
            <w:r>
              <w:rPr>
                <w:rFonts w:ascii="仿宋_GB2312" w:hAnsi="宋体" w:eastAsia="仿宋_GB2312"/>
                <w:color w:val="000000" w:themeColor="text1"/>
                <w:sz w:val="18"/>
                <w:szCs w:val="18"/>
              </w:rPr>
              <w:t>√</w:t>
            </w:r>
          </w:p>
        </w:tc>
        <w:tc>
          <w:tcPr>
            <w:tcW w:w="780" w:type="dxa"/>
            <w:vAlign w:val="center"/>
          </w:tcPr>
          <w:p>
            <w:pPr>
              <w:adjustRightInd w:val="0"/>
              <w:snapToGrid w:val="0"/>
              <w:jc w:val="center"/>
              <w:rPr>
                <w:rFonts w:ascii="仿宋_GB2312" w:hAnsi="宋体" w:eastAsia="仿宋_GB2312"/>
                <w:color w:val="000000" w:themeColor="text1"/>
                <w:sz w:val="18"/>
                <w:szCs w:val="18"/>
              </w:rPr>
            </w:pPr>
          </w:p>
        </w:tc>
        <w:tc>
          <w:tcPr>
            <w:tcW w:w="705" w:type="dxa"/>
            <w:vAlign w:val="center"/>
          </w:tcPr>
          <w:p>
            <w:pPr>
              <w:adjustRightInd w:val="0"/>
              <w:snapToGrid w:val="0"/>
              <w:jc w:val="center"/>
              <w:rPr>
                <w:rFonts w:ascii="仿宋_GB2312" w:hAnsi="宋体" w:eastAsia="仿宋_GB2312"/>
                <w:color w:val="000000" w:themeColor="text1"/>
                <w:sz w:val="18"/>
                <w:szCs w:val="18"/>
              </w:rPr>
            </w:pPr>
            <w:r>
              <w:rPr>
                <w:rFonts w:ascii="仿宋_GB2312" w:hAnsi="宋体" w:eastAsia="仿宋_GB2312"/>
                <w:color w:val="000000" w:themeColor="text1"/>
                <w:sz w:val="18"/>
                <w:szCs w:val="18"/>
              </w:rPr>
              <w:t>√</w:t>
            </w:r>
          </w:p>
        </w:tc>
        <w:tc>
          <w:tcPr>
            <w:tcW w:w="765" w:type="dxa"/>
            <w:vAlign w:val="center"/>
          </w:tcPr>
          <w:p>
            <w:pPr>
              <w:adjustRightInd w:val="0"/>
              <w:snapToGrid w:val="0"/>
              <w:jc w:val="center"/>
              <w:rPr>
                <w:rFonts w:ascii="仿宋_GB2312" w:hAnsi="宋体" w:eastAsia="仿宋_GB2312"/>
                <w:color w:val="000000" w:themeColor="text1"/>
                <w:sz w:val="18"/>
                <w:szCs w:val="18"/>
              </w:rPr>
            </w:pPr>
          </w:p>
        </w:tc>
        <w:tc>
          <w:tcPr>
            <w:tcW w:w="675" w:type="dxa"/>
            <w:vAlign w:val="center"/>
          </w:tcPr>
          <w:p>
            <w:pPr>
              <w:widowControl/>
              <w:jc w:val="center"/>
              <w:rPr>
                <w:rFonts w:ascii="仿宋_GB2312" w:hAnsi="宋体" w:eastAsia="仿宋_GB2312"/>
                <w:color w:val="000000" w:themeColor="text1"/>
                <w:sz w:val="18"/>
                <w:szCs w:val="18"/>
              </w:rPr>
            </w:pPr>
          </w:p>
        </w:tc>
        <w:tc>
          <w:tcPr>
            <w:tcW w:w="750" w:type="dxa"/>
            <w:vAlign w:val="center"/>
          </w:tcPr>
          <w:p>
            <w:pPr>
              <w:widowControl/>
              <w:jc w:val="center"/>
              <w:rPr>
                <w:rFonts w:ascii="仿宋_GB2312" w:hAnsi="宋体" w:eastAsia="仿宋_GB2312"/>
                <w:color w:val="000000" w:themeColor="text1"/>
                <w:sz w:val="18"/>
                <w:szCs w:val="18"/>
              </w:rPr>
            </w:pPr>
            <w:r>
              <w:rPr>
                <w:rFonts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hint="eastAsia" w:ascii="仿宋_GB2312" w:hAnsi="宋体" w:eastAsia="仿宋_GB2312"/>
                <w:color w:val="000000" w:themeColor="text1"/>
                <w:sz w:val="18"/>
                <w:szCs w:val="18"/>
                <w:lang w:eastAsia="zh-CN"/>
              </w:rPr>
            </w:pPr>
            <w:r>
              <w:rPr>
                <w:rFonts w:hint="eastAsia" w:ascii="仿宋_GB2312" w:hAnsi="宋体" w:eastAsia="仿宋_GB2312"/>
                <w:color w:val="000000" w:themeColor="text1"/>
                <w:sz w:val="18"/>
                <w:szCs w:val="18"/>
                <w:lang w:val="en-US" w:eastAsia="zh-CN"/>
              </w:rPr>
              <w:t>2</w:t>
            </w:r>
          </w:p>
        </w:tc>
        <w:tc>
          <w:tcPr>
            <w:tcW w:w="720" w:type="dxa"/>
            <w:vAlign w:val="center"/>
          </w:tcPr>
          <w:p>
            <w:pPr>
              <w:adjustRightInd w:val="0"/>
              <w:snapToGrid w:val="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行政</w:t>
            </w:r>
            <w:r>
              <w:rPr>
                <w:rFonts w:ascii="仿宋_GB2312" w:hAnsi="宋体" w:eastAsia="仿宋_GB2312"/>
                <w:color w:val="000000" w:themeColor="text1"/>
                <w:sz w:val="18"/>
                <w:szCs w:val="18"/>
              </w:rPr>
              <w:br w:type="textWrapping"/>
            </w:r>
            <w:r>
              <w:rPr>
                <w:rFonts w:ascii="仿宋_GB2312" w:hAnsi="宋体" w:eastAsia="仿宋_GB2312"/>
                <w:color w:val="000000" w:themeColor="text1"/>
                <w:sz w:val="18"/>
                <w:szCs w:val="18"/>
              </w:rPr>
              <w:t>许可</w:t>
            </w:r>
          </w:p>
        </w:tc>
        <w:tc>
          <w:tcPr>
            <w:tcW w:w="900" w:type="dxa"/>
            <w:vAlign w:val="center"/>
          </w:tcPr>
          <w:p>
            <w:pPr>
              <w:adjustRightInd w:val="0"/>
              <w:snapToGrid w:val="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建设项目环境保护设施竣工验收</w:t>
            </w:r>
          </w:p>
        </w:tc>
        <w:tc>
          <w:tcPr>
            <w:tcW w:w="1962" w:type="dxa"/>
            <w:vAlign w:val="center"/>
          </w:tcPr>
          <w:p>
            <w:pPr>
              <w:pStyle w:val="7"/>
              <w:adjustRightInd w:val="0"/>
              <w:snapToGrid w:val="0"/>
              <w:ind w:firstLine="0" w:firstLineChars="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1.法律法规和政策文件；</w:t>
            </w:r>
          </w:p>
          <w:p>
            <w:pPr>
              <w:pStyle w:val="7"/>
              <w:adjustRightInd w:val="0"/>
              <w:snapToGrid w:val="0"/>
              <w:ind w:firstLine="0" w:firstLineChars="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7"/>
              <w:adjustRightInd w:val="0"/>
              <w:snapToGrid w:val="0"/>
              <w:ind w:firstLine="0" w:firstLineChars="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3.过程信息，根据实际情况适当公开受理、审核、审批、送达等相关信息。</w:t>
            </w:r>
          </w:p>
          <w:p>
            <w:pPr>
              <w:pStyle w:val="7"/>
              <w:adjustRightInd w:val="0"/>
              <w:snapToGrid w:val="0"/>
              <w:ind w:firstLine="0" w:firstLineChars="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4.行政许可决定书及相关许可证信息</w:t>
            </w:r>
          </w:p>
        </w:tc>
        <w:tc>
          <w:tcPr>
            <w:tcW w:w="2205" w:type="dxa"/>
            <w:vAlign w:val="center"/>
          </w:tcPr>
          <w:p>
            <w:pPr>
              <w:adjustRightInd w:val="0"/>
              <w:snapToGrid w:val="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行政许可法》《政府信息公开条例》《中华人民共和国环境噪声污染防治法》（1997年3月1日起施行）《建设项目竣工环境保护验收管理办法》（环境保护总局令第13号，2010年修正）《国家环境保护总局建设项目环境影响评价文件审批程序规定》（2005年总局令第29号）</w:t>
            </w:r>
          </w:p>
        </w:tc>
        <w:tc>
          <w:tcPr>
            <w:tcW w:w="1500" w:type="dxa"/>
            <w:vAlign w:val="center"/>
          </w:tcPr>
          <w:p>
            <w:pPr>
              <w:adjustRightInd w:val="0"/>
              <w:snapToGrid w:val="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themeColor="text1"/>
                <w:sz w:val="18"/>
                <w:szCs w:val="18"/>
              </w:rPr>
            </w:pPr>
            <w:r>
              <w:rPr>
                <w:rFonts w:hint="eastAsia" w:ascii="仿宋_GB2312" w:hAnsi="宋体" w:eastAsia="仿宋_GB2312"/>
                <w:color w:val="000000" w:themeColor="text1"/>
                <w:sz w:val="18"/>
                <w:szCs w:val="18"/>
              </w:rPr>
              <w:t>■天津网上办事大厅</w:t>
            </w:r>
          </w:p>
        </w:tc>
        <w:tc>
          <w:tcPr>
            <w:tcW w:w="660" w:type="dxa"/>
            <w:vAlign w:val="center"/>
          </w:tcPr>
          <w:p>
            <w:pPr>
              <w:adjustRightInd w:val="0"/>
              <w:snapToGrid w:val="0"/>
              <w:jc w:val="center"/>
              <w:rPr>
                <w:rFonts w:ascii="仿宋_GB2312" w:hAnsi="宋体" w:eastAsia="仿宋_GB2312"/>
                <w:color w:val="000000" w:themeColor="text1"/>
                <w:sz w:val="18"/>
                <w:szCs w:val="18"/>
              </w:rPr>
            </w:pPr>
            <w:r>
              <w:rPr>
                <w:rFonts w:ascii="仿宋_GB2312" w:hAnsi="宋体" w:eastAsia="仿宋_GB2312"/>
                <w:color w:val="000000" w:themeColor="text1"/>
                <w:sz w:val="18"/>
                <w:szCs w:val="18"/>
              </w:rPr>
              <w:t>√</w:t>
            </w:r>
          </w:p>
        </w:tc>
        <w:tc>
          <w:tcPr>
            <w:tcW w:w="780" w:type="dxa"/>
            <w:vAlign w:val="center"/>
          </w:tcPr>
          <w:p>
            <w:pPr>
              <w:adjustRightInd w:val="0"/>
              <w:snapToGrid w:val="0"/>
              <w:jc w:val="center"/>
              <w:rPr>
                <w:rFonts w:ascii="仿宋_GB2312" w:hAnsi="宋体" w:eastAsia="仿宋_GB2312"/>
                <w:color w:val="000000" w:themeColor="text1"/>
                <w:sz w:val="18"/>
                <w:szCs w:val="18"/>
              </w:rPr>
            </w:pPr>
          </w:p>
        </w:tc>
        <w:tc>
          <w:tcPr>
            <w:tcW w:w="705" w:type="dxa"/>
            <w:vAlign w:val="center"/>
          </w:tcPr>
          <w:p>
            <w:pPr>
              <w:adjustRightInd w:val="0"/>
              <w:snapToGrid w:val="0"/>
              <w:jc w:val="center"/>
              <w:rPr>
                <w:rFonts w:ascii="仿宋_GB2312" w:hAnsi="宋体" w:eastAsia="仿宋_GB2312"/>
                <w:color w:val="000000" w:themeColor="text1"/>
                <w:sz w:val="18"/>
                <w:szCs w:val="18"/>
              </w:rPr>
            </w:pPr>
            <w:r>
              <w:rPr>
                <w:rFonts w:ascii="仿宋_GB2312" w:hAnsi="宋体" w:eastAsia="仿宋_GB2312"/>
                <w:color w:val="000000" w:themeColor="text1"/>
                <w:sz w:val="18"/>
                <w:szCs w:val="18"/>
              </w:rPr>
              <w:t>√</w:t>
            </w:r>
          </w:p>
        </w:tc>
        <w:tc>
          <w:tcPr>
            <w:tcW w:w="765" w:type="dxa"/>
            <w:vAlign w:val="center"/>
          </w:tcPr>
          <w:p>
            <w:pPr>
              <w:adjustRightInd w:val="0"/>
              <w:snapToGrid w:val="0"/>
              <w:jc w:val="center"/>
              <w:rPr>
                <w:rFonts w:ascii="仿宋_GB2312" w:hAnsi="宋体" w:eastAsia="仿宋_GB2312"/>
                <w:color w:val="000000" w:themeColor="text1"/>
                <w:sz w:val="18"/>
                <w:szCs w:val="18"/>
              </w:rPr>
            </w:pPr>
          </w:p>
        </w:tc>
        <w:tc>
          <w:tcPr>
            <w:tcW w:w="675" w:type="dxa"/>
            <w:vAlign w:val="center"/>
          </w:tcPr>
          <w:p>
            <w:pPr>
              <w:widowControl/>
              <w:jc w:val="center"/>
              <w:rPr>
                <w:rFonts w:ascii="仿宋_GB2312" w:hAnsi="宋体" w:eastAsia="仿宋_GB2312"/>
                <w:color w:val="000000" w:themeColor="text1"/>
                <w:sz w:val="18"/>
                <w:szCs w:val="18"/>
              </w:rPr>
            </w:pPr>
          </w:p>
        </w:tc>
        <w:tc>
          <w:tcPr>
            <w:tcW w:w="750" w:type="dxa"/>
            <w:vAlign w:val="center"/>
          </w:tcPr>
          <w:p>
            <w:pPr>
              <w:jc w:val="center"/>
              <w:rPr>
                <w:rFonts w:hint="eastAsia"/>
              </w:rPr>
            </w:pPr>
            <w:r>
              <w:rPr>
                <w:rFonts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hint="default"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3</w:t>
            </w:r>
          </w:p>
        </w:tc>
        <w:tc>
          <w:tcPr>
            <w:tcW w:w="72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排污许可证</w:t>
            </w:r>
          </w:p>
        </w:tc>
        <w:tc>
          <w:tcPr>
            <w:tcW w:w="1962" w:type="dxa"/>
            <w:vAlign w:val="center"/>
          </w:tcPr>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4.行政许可决定书及相关许可证信息</w:t>
            </w:r>
          </w:p>
        </w:tc>
        <w:tc>
          <w:tcPr>
            <w:tcW w:w="2205"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政府信息公开条例》《中华人民共和国水污染防治法》（2017年修正）《中华人民共和国环境保护法》（主席令第22号，2014年修订）《中华人民共和国大气污染防治法》（主席令31号，2015年修订）《中华人民共和国水污染防治法实施细则》（2000年国务院令第284号）《国务院办公厅关于印发控制污染物排放许可制实施方案的通知》（国办发〔2016〕81号）《排污许可管理办法（试行）》（2018年环境保护部令第48号）《排污许可证管理暂行规定》（环水体[2016]186号）</w:t>
            </w:r>
          </w:p>
        </w:tc>
        <w:tc>
          <w:tcPr>
            <w:tcW w:w="150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sz w:val="18"/>
                <w:szCs w:val="18"/>
              </w:rPr>
              <w:t>■天津网上办事大厅</w:t>
            </w:r>
          </w:p>
        </w:tc>
        <w:tc>
          <w:tcPr>
            <w:tcW w:w="660"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80" w:type="dxa"/>
            <w:vAlign w:val="center"/>
          </w:tcPr>
          <w:p>
            <w:pPr>
              <w:adjustRightInd w:val="0"/>
              <w:snapToGrid w:val="0"/>
              <w:jc w:val="center"/>
              <w:rPr>
                <w:rFonts w:ascii="仿宋_GB2312" w:hAnsi="宋体" w:eastAsia="仿宋_GB2312"/>
                <w:color w:val="000000"/>
                <w:sz w:val="18"/>
                <w:szCs w:val="18"/>
              </w:rPr>
            </w:pPr>
          </w:p>
        </w:tc>
        <w:tc>
          <w:tcPr>
            <w:tcW w:w="705"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65" w:type="dxa"/>
            <w:vAlign w:val="center"/>
          </w:tcPr>
          <w:p>
            <w:pPr>
              <w:adjustRightInd w:val="0"/>
              <w:snapToGrid w:val="0"/>
              <w:jc w:val="center"/>
              <w:rPr>
                <w:rFonts w:ascii="仿宋_GB2312" w:hAnsi="宋体" w:eastAsia="仿宋_GB2312"/>
                <w:color w:val="000000"/>
                <w:sz w:val="18"/>
                <w:szCs w:val="18"/>
              </w:rPr>
            </w:pPr>
          </w:p>
        </w:tc>
        <w:tc>
          <w:tcPr>
            <w:tcW w:w="675" w:type="dxa"/>
            <w:vAlign w:val="center"/>
          </w:tcPr>
          <w:p>
            <w:pPr>
              <w:widowControl/>
              <w:jc w:val="center"/>
              <w:rPr>
                <w:rFonts w:ascii="仿宋_GB2312" w:hAnsi="宋体" w:eastAsia="仿宋_GB2312"/>
                <w:color w:val="000000"/>
                <w:sz w:val="18"/>
                <w:szCs w:val="18"/>
              </w:rPr>
            </w:pPr>
          </w:p>
        </w:tc>
        <w:tc>
          <w:tcPr>
            <w:tcW w:w="750" w:type="dxa"/>
            <w:vAlign w:val="center"/>
          </w:tcPr>
          <w:p>
            <w:pPr>
              <w:jc w:val="center"/>
              <w:rPr>
                <w:rFonts w:hint="eastAsia"/>
              </w:rPr>
            </w:pPr>
            <w:r>
              <w:rPr>
                <w:rFonts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4</w:t>
            </w:r>
          </w:p>
        </w:tc>
        <w:tc>
          <w:tcPr>
            <w:tcW w:w="72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辐射安全许可（市级部分权限委托实施）</w:t>
            </w:r>
          </w:p>
        </w:tc>
        <w:tc>
          <w:tcPr>
            <w:tcW w:w="1962" w:type="dxa"/>
            <w:vAlign w:val="center"/>
          </w:tcPr>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4.行政许可决定书及相关许可证信息</w:t>
            </w:r>
          </w:p>
        </w:tc>
        <w:tc>
          <w:tcPr>
            <w:tcW w:w="2205"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政府信息公开条例》《中华人民共和国放射性污染防治法》（2003年）《国务院关于取消和下放一批行政审批项目的决定》（国发〔2014〕5号）《放射性同位素与射线装置安全和防护条例》（2005年国务院令第449号）《放射性同位素与射线装置安全许可管理办法》（国家环境保护总局令第31号，2008年修正）</w:t>
            </w:r>
          </w:p>
        </w:tc>
        <w:tc>
          <w:tcPr>
            <w:tcW w:w="150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sz w:val="18"/>
                <w:szCs w:val="18"/>
              </w:rPr>
              <w:t>■天津网上办事大厅</w:t>
            </w:r>
          </w:p>
        </w:tc>
        <w:tc>
          <w:tcPr>
            <w:tcW w:w="660"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80" w:type="dxa"/>
            <w:vAlign w:val="center"/>
          </w:tcPr>
          <w:p>
            <w:pPr>
              <w:adjustRightInd w:val="0"/>
              <w:snapToGrid w:val="0"/>
              <w:jc w:val="center"/>
              <w:rPr>
                <w:rFonts w:ascii="仿宋_GB2312" w:hAnsi="宋体" w:eastAsia="仿宋_GB2312"/>
                <w:color w:val="000000"/>
                <w:sz w:val="18"/>
                <w:szCs w:val="18"/>
              </w:rPr>
            </w:pPr>
          </w:p>
        </w:tc>
        <w:tc>
          <w:tcPr>
            <w:tcW w:w="705"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65" w:type="dxa"/>
            <w:vAlign w:val="center"/>
          </w:tcPr>
          <w:p>
            <w:pPr>
              <w:adjustRightInd w:val="0"/>
              <w:snapToGrid w:val="0"/>
              <w:jc w:val="center"/>
              <w:rPr>
                <w:rFonts w:ascii="仿宋_GB2312" w:hAnsi="宋体" w:eastAsia="仿宋_GB2312"/>
                <w:color w:val="000000"/>
                <w:sz w:val="18"/>
                <w:szCs w:val="18"/>
              </w:rPr>
            </w:pPr>
          </w:p>
        </w:tc>
        <w:tc>
          <w:tcPr>
            <w:tcW w:w="675" w:type="dxa"/>
            <w:vAlign w:val="center"/>
          </w:tcPr>
          <w:p>
            <w:pPr>
              <w:widowControl/>
              <w:jc w:val="center"/>
              <w:rPr>
                <w:rFonts w:ascii="仿宋_GB2312" w:hAnsi="宋体" w:eastAsia="仿宋_GB2312"/>
                <w:color w:val="000000"/>
                <w:sz w:val="18"/>
                <w:szCs w:val="18"/>
              </w:rPr>
            </w:pPr>
          </w:p>
        </w:tc>
        <w:tc>
          <w:tcPr>
            <w:tcW w:w="750" w:type="dxa"/>
            <w:vAlign w:val="center"/>
          </w:tcPr>
          <w:p>
            <w:pPr>
              <w:jc w:val="center"/>
              <w:rPr>
                <w:rFonts w:hint="eastAsia"/>
              </w:rPr>
            </w:pPr>
            <w:r>
              <w:rPr>
                <w:rFonts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hint="eastAsia" w:ascii="仿宋_GB2312" w:hAnsi="宋体" w:eastAsia="仿宋_GB2312"/>
                <w:color w:val="000000"/>
                <w:sz w:val="18"/>
                <w:szCs w:val="18"/>
                <w:lang w:val="en-US" w:eastAsia="zh-CN"/>
              </w:rPr>
            </w:pPr>
            <w:r>
              <w:rPr>
                <w:rFonts w:hint="eastAsia" w:ascii="仿宋_GB2312" w:hAnsi="宋体" w:eastAsia="仿宋_GB2312"/>
                <w:color w:val="000000"/>
                <w:sz w:val="18"/>
                <w:szCs w:val="18"/>
                <w:lang w:val="en-US" w:eastAsia="zh-CN"/>
              </w:rPr>
              <w:t>5</w:t>
            </w:r>
          </w:p>
        </w:tc>
        <w:tc>
          <w:tcPr>
            <w:tcW w:w="72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工业固体废物污染环境防治设施、场所的关闭、闲置或者拆除核准</w:t>
            </w:r>
          </w:p>
        </w:tc>
        <w:tc>
          <w:tcPr>
            <w:tcW w:w="1962" w:type="dxa"/>
            <w:vAlign w:val="center"/>
          </w:tcPr>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4.行政许可决定书及相关许可证信息</w:t>
            </w:r>
          </w:p>
        </w:tc>
        <w:tc>
          <w:tcPr>
            <w:tcW w:w="2205"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《行政许可法》《政府信息公开条例》《中华人民共和国固体废物污染环境防治法》（2016年修正）</w:t>
            </w:r>
          </w:p>
        </w:tc>
        <w:tc>
          <w:tcPr>
            <w:tcW w:w="150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sz w:val="18"/>
                <w:szCs w:val="18"/>
              </w:rPr>
              <w:t>■天津网上办事大厅</w:t>
            </w:r>
          </w:p>
        </w:tc>
        <w:tc>
          <w:tcPr>
            <w:tcW w:w="660"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80" w:type="dxa"/>
            <w:vAlign w:val="center"/>
          </w:tcPr>
          <w:p>
            <w:pPr>
              <w:adjustRightInd w:val="0"/>
              <w:snapToGrid w:val="0"/>
              <w:jc w:val="center"/>
              <w:rPr>
                <w:rFonts w:ascii="仿宋_GB2312" w:hAnsi="宋体" w:eastAsia="仿宋_GB2312"/>
                <w:color w:val="000000"/>
                <w:sz w:val="18"/>
                <w:szCs w:val="18"/>
              </w:rPr>
            </w:pPr>
          </w:p>
        </w:tc>
        <w:tc>
          <w:tcPr>
            <w:tcW w:w="705"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65" w:type="dxa"/>
            <w:vAlign w:val="center"/>
          </w:tcPr>
          <w:p>
            <w:pPr>
              <w:adjustRightInd w:val="0"/>
              <w:snapToGrid w:val="0"/>
              <w:jc w:val="center"/>
              <w:rPr>
                <w:rFonts w:ascii="仿宋_GB2312" w:hAnsi="宋体" w:eastAsia="仿宋_GB2312"/>
                <w:color w:val="000000"/>
                <w:sz w:val="18"/>
                <w:szCs w:val="18"/>
              </w:rPr>
            </w:pPr>
          </w:p>
        </w:tc>
        <w:tc>
          <w:tcPr>
            <w:tcW w:w="675" w:type="dxa"/>
            <w:vAlign w:val="center"/>
          </w:tcPr>
          <w:p>
            <w:pPr>
              <w:widowControl/>
              <w:jc w:val="center"/>
              <w:rPr>
                <w:rFonts w:ascii="仿宋_GB2312" w:hAnsi="宋体" w:eastAsia="仿宋_GB2312"/>
                <w:color w:val="000000"/>
                <w:sz w:val="18"/>
                <w:szCs w:val="18"/>
              </w:rPr>
            </w:pPr>
          </w:p>
        </w:tc>
        <w:tc>
          <w:tcPr>
            <w:tcW w:w="750" w:type="dxa"/>
            <w:vAlign w:val="center"/>
          </w:tcPr>
          <w:p>
            <w:pPr>
              <w:jc w:val="center"/>
              <w:rPr>
                <w:rFonts w:hint="eastAsia"/>
              </w:rPr>
            </w:pPr>
            <w:r>
              <w:rPr>
                <w:rFonts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6</w:t>
            </w:r>
          </w:p>
        </w:tc>
        <w:tc>
          <w:tcPr>
            <w:tcW w:w="72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从事机动车维修活动中生产的废矿物油和居民日常生活中产生的废镍镉电池的危险废物收集经营许可</w:t>
            </w:r>
          </w:p>
        </w:tc>
        <w:tc>
          <w:tcPr>
            <w:tcW w:w="1962" w:type="dxa"/>
            <w:vAlign w:val="center"/>
          </w:tcPr>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4.行政许可决定书及相关许可证信息</w:t>
            </w:r>
          </w:p>
        </w:tc>
        <w:tc>
          <w:tcPr>
            <w:tcW w:w="2205"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《行政许可法》《政府信息公开条例》《中华人民共和国固体废物污染环境防治法》（2017年修正）《危险废物经营许可证管理办法》（国务院令第408号，2016年修订）</w:t>
            </w:r>
          </w:p>
        </w:tc>
        <w:tc>
          <w:tcPr>
            <w:tcW w:w="150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sz w:val="18"/>
                <w:szCs w:val="18"/>
              </w:rPr>
              <w:t>■天津网上办事大厅</w:t>
            </w:r>
          </w:p>
        </w:tc>
        <w:tc>
          <w:tcPr>
            <w:tcW w:w="660"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80" w:type="dxa"/>
            <w:vAlign w:val="center"/>
          </w:tcPr>
          <w:p>
            <w:pPr>
              <w:adjustRightInd w:val="0"/>
              <w:snapToGrid w:val="0"/>
              <w:jc w:val="center"/>
              <w:rPr>
                <w:rFonts w:ascii="仿宋_GB2312" w:hAnsi="宋体" w:eastAsia="仿宋_GB2312"/>
                <w:color w:val="000000"/>
                <w:sz w:val="18"/>
                <w:szCs w:val="18"/>
              </w:rPr>
            </w:pPr>
          </w:p>
        </w:tc>
        <w:tc>
          <w:tcPr>
            <w:tcW w:w="705"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65" w:type="dxa"/>
            <w:vAlign w:val="center"/>
          </w:tcPr>
          <w:p>
            <w:pPr>
              <w:adjustRightInd w:val="0"/>
              <w:snapToGrid w:val="0"/>
              <w:jc w:val="center"/>
              <w:rPr>
                <w:rFonts w:ascii="仿宋_GB2312" w:hAnsi="宋体" w:eastAsia="仿宋_GB2312"/>
                <w:color w:val="000000"/>
                <w:sz w:val="18"/>
                <w:szCs w:val="18"/>
              </w:rPr>
            </w:pPr>
          </w:p>
        </w:tc>
        <w:tc>
          <w:tcPr>
            <w:tcW w:w="675" w:type="dxa"/>
            <w:vAlign w:val="center"/>
          </w:tcPr>
          <w:p>
            <w:pPr>
              <w:widowControl/>
              <w:jc w:val="center"/>
              <w:rPr>
                <w:rFonts w:ascii="仿宋_GB2312" w:hAnsi="宋体" w:eastAsia="仿宋_GB2312"/>
                <w:color w:val="000000"/>
                <w:sz w:val="18"/>
                <w:szCs w:val="18"/>
              </w:rPr>
            </w:pPr>
          </w:p>
        </w:tc>
        <w:tc>
          <w:tcPr>
            <w:tcW w:w="750" w:type="dxa"/>
            <w:vAlign w:val="center"/>
          </w:tcPr>
          <w:p>
            <w:pPr>
              <w:jc w:val="center"/>
              <w:rPr>
                <w:rFonts w:hint="eastAsia"/>
              </w:rPr>
            </w:pPr>
            <w:r>
              <w:rPr>
                <w:rFonts w:ascii="仿宋_GB2312" w:hAnsi="宋体" w:eastAsia="仿宋_GB2312"/>
                <w:color w:val="000000" w:themeColor="text1"/>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pStyle w:val="7"/>
              <w:adjustRightInd w:val="0"/>
              <w:snapToGrid w:val="0"/>
              <w:ind w:firstLine="0" w:firstLineChars="0"/>
              <w:jc w:val="center"/>
              <w:rPr>
                <w:rFonts w:hint="eastAsia" w:ascii="仿宋_GB2312" w:hAnsi="宋体" w:eastAsia="仿宋_GB2312"/>
                <w:color w:val="000000"/>
                <w:sz w:val="18"/>
                <w:szCs w:val="18"/>
                <w:lang w:eastAsia="zh-CN"/>
              </w:rPr>
            </w:pPr>
            <w:r>
              <w:rPr>
                <w:rFonts w:hint="eastAsia" w:ascii="仿宋_GB2312" w:hAnsi="宋体" w:eastAsia="仿宋_GB2312"/>
                <w:color w:val="000000"/>
                <w:sz w:val="18"/>
                <w:szCs w:val="18"/>
                <w:lang w:val="en-US" w:eastAsia="zh-CN"/>
              </w:rPr>
              <w:t>7</w:t>
            </w:r>
            <w:bookmarkStart w:id="1" w:name="_GoBack"/>
            <w:bookmarkEnd w:id="1"/>
          </w:p>
        </w:tc>
        <w:tc>
          <w:tcPr>
            <w:tcW w:w="72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行政</w:t>
            </w:r>
            <w:r>
              <w:rPr>
                <w:rFonts w:ascii="仿宋_GB2312" w:hAnsi="宋体" w:eastAsia="仿宋_GB2312"/>
                <w:color w:val="000000"/>
                <w:sz w:val="18"/>
                <w:szCs w:val="18"/>
              </w:rPr>
              <w:br w:type="textWrapping"/>
            </w:r>
            <w:r>
              <w:rPr>
                <w:rFonts w:ascii="仿宋_GB2312" w:hAnsi="宋体" w:eastAsia="仿宋_GB2312"/>
                <w:color w:val="000000"/>
                <w:sz w:val="18"/>
                <w:szCs w:val="18"/>
              </w:rPr>
              <w:t>许可</w:t>
            </w:r>
          </w:p>
        </w:tc>
        <w:tc>
          <w:tcPr>
            <w:tcW w:w="90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sz w:val="18"/>
                <w:szCs w:val="18"/>
              </w:rPr>
              <w:t>建设项目夜间施工许可</w:t>
            </w:r>
          </w:p>
        </w:tc>
        <w:tc>
          <w:tcPr>
            <w:tcW w:w="1962" w:type="dxa"/>
            <w:vAlign w:val="center"/>
          </w:tcPr>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1.法律法规和政策文件；</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2.办事指南，包括：适用范围、事项类型、办理依据、办理部门、业务主管部门、办理条件、申请材料、办理基本流程、办理方式、审批时限、审批收费依据及标准、审批结果、咨询途径、监督和投诉渠道、办公地址和时间、公开查询方式等；</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3.过程信息，根据实际情况适当公开受理、审核、审批、送达等相关信息。</w:t>
            </w:r>
          </w:p>
          <w:p>
            <w:pPr>
              <w:pStyle w:val="7"/>
              <w:adjustRightInd w:val="0"/>
              <w:snapToGrid w:val="0"/>
              <w:ind w:firstLine="0" w:firstLineChars="0"/>
              <w:rPr>
                <w:rFonts w:ascii="仿宋_GB2312" w:hAnsi="宋体" w:eastAsia="仿宋_GB2312"/>
                <w:color w:val="000000"/>
                <w:sz w:val="18"/>
                <w:szCs w:val="18"/>
              </w:rPr>
            </w:pPr>
            <w:r>
              <w:rPr>
                <w:rFonts w:hint="eastAsia" w:ascii="仿宋_GB2312" w:hAnsi="宋体" w:eastAsia="仿宋_GB2312"/>
                <w:color w:val="000000"/>
                <w:sz w:val="18"/>
                <w:szCs w:val="18"/>
              </w:rPr>
              <w:t>4.行政许可决定书及相关许可证信息</w:t>
            </w:r>
          </w:p>
        </w:tc>
        <w:tc>
          <w:tcPr>
            <w:tcW w:w="2205"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《行政许可法》《政府信息公开条例》《中华人民共和国水污染防治法》（2017年修订）《天津市大气污染防治条例》（2015年）</w:t>
            </w:r>
          </w:p>
        </w:tc>
        <w:tc>
          <w:tcPr>
            <w:tcW w:w="150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color w:val="000000"/>
                <w:sz w:val="18"/>
                <w:szCs w:val="18"/>
              </w:rPr>
              <w:t>自该信息形成或者变更之日起20个工作日内</w:t>
            </w:r>
          </w:p>
        </w:tc>
        <w:tc>
          <w:tcPr>
            <w:tcW w:w="1290" w:type="dxa"/>
            <w:vAlign w:val="center"/>
          </w:tcPr>
          <w:p>
            <w:pPr>
              <w:adjustRightInd w:val="0"/>
              <w:snapToGrid w:val="0"/>
              <w:jc w:val="center"/>
              <w:rPr>
                <w:rFonts w:ascii="仿宋_GB2312" w:hAnsi="宋体" w:eastAsia="仿宋_GB2312"/>
                <w:color w:val="000000"/>
                <w:sz w:val="18"/>
                <w:szCs w:val="18"/>
              </w:rPr>
            </w:pPr>
            <w:r>
              <w:rPr>
                <w:rFonts w:hint="eastAsia" w:ascii="仿宋_GB2312" w:hAnsi="宋体" w:eastAsia="仿宋_GB2312"/>
                <w:color w:val="000000" w:themeColor="text1"/>
                <w:sz w:val="18"/>
                <w:szCs w:val="18"/>
              </w:rPr>
              <w:t>新开口镇人民政府</w:t>
            </w:r>
          </w:p>
        </w:tc>
        <w:tc>
          <w:tcPr>
            <w:tcW w:w="1770" w:type="dxa"/>
            <w:vAlign w:val="center"/>
          </w:tcPr>
          <w:p>
            <w:pPr>
              <w:adjustRightInd w:val="0"/>
              <w:snapToGrid w:val="0"/>
              <w:rPr>
                <w:rFonts w:ascii="仿宋_GB2312" w:hAnsi="宋体" w:eastAsia="仿宋_GB2312"/>
                <w:color w:val="000000"/>
                <w:sz w:val="18"/>
                <w:szCs w:val="18"/>
              </w:rPr>
            </w:pPr>
            <w:r>
              <w:rPr>
                <w:rFonts w:hint="eastAsia" w:ascii="仿宋_GB2312" w:hAnsi="宋体" w:eastAsia="仿宋_GB2312"/>
                <w:sz w:val="18"/>
                <w:szCs w:val="18"/>
              </w:rPr>
              <w:t>■天津网上办事大厅</w:t>
            </w:r>
          </w:p>
        </w:tc>
        <w:tc>
          <w:tcPr>
            <w:tcW w:w="660"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80" w:type="dxa"/>
            <w:vAlign w:val="center"/>
          </w:tcPr>
          <w:p>
            <w:pPr>
              <w:adjustRightInd w:val="0"/>
              <w:snapToGrid w:val="0"/>
              <w:jc w:val="center"/>
              <w:rPr>
                <w:rFonts w:ascii="仿宋_GB2312" w:hAnsi="宋体" w:eastAsia="仿宋_GB2312"/>
                <w:color w:val="000000"/>
                <w:sz w:val="18"/>
                <w:szCs w:val="18"/>
              </w:rPr>
            </w:pPr>
          </w:p>
        </w:tc>
        <w:tc>
          <w:tcPr>
            <w:tcW w:w="705" w:type="dxa"/>
            <w:vAlign w:val="center"/>
          </w:tcPr>
          <w:p>
            <w:pPr>
              <w:adjustRightInd w:val="0"/>
              <w:snapToGrid w:val="0"/>
              <w:jc w:val="center"/>
              <w:rPr>
                <w:rFonts w:ascii="仿宋_GB2312" w:hAnsi="宋体" w:eastAsia="仿宋_GB2312"/>
                <w:color w:val="000000"/>
                <w:sz w:val="18"/>
                <w:szCs w:val="18"/>
              </w:rPr>
            </w:pPr>
            <w:r>
              <w:rPr>
                <w:rFonts w:ascii="仿宋_GB2312" w:hAnsi="宋体" w:eastAsia="仿宋_GB2312"/>
                <w:color w:val="000000"/>
                <w:sz w:val="18"/>
                <w:szCs w:val="18"/>
              </w:rPr>
              <w:t>√</w:t>
            </w:r>
          </w:p>
        </w:tc>
        <w:tc>
          <w:tcPr>
            <w:tcW w:w="765" w:type="dxa"/>
            <w:vAlign w:val="center"/>
          </w:tcPr>
          <w:p>
            <w:pPr>
              <w:adjustRightInd w:val="0"/>
              <w:snapToGrid w:val="0"/>
              <w:jc w:val="center"/>
              <w:rPr>
                <w:rFonts w:ascii="仿宋_GB2312" w:hAnsi="宋体" w:eastAsia="仿宋_GB2312"/>
                <w:color w:val="000000"/>
                <w:sz w:val="18"/>
                <w:szCs w:val="18"/>
              </w:rPr>
            </w:pPr>
          </w:p>
        </w:tc>
        <w:tc>
          <w:tcPr>
            <w:tcW w:w="675" w:type="dxa"/>
            <w:vAlign w:val="center"/>
          </w:tcPr>
          <w:p>
            <w:pPr>
              <w:widowControl/>
              <w:jc w:val="center"/>
              <w:rPr>
                <w:rFonts w:ascii="仿宋_GB2312" w:hAnsi="宋体" w:eastAsia="仿宋_GB2312"/>
                <w:color w:val="000000"/>
                <w:sz w:val="18"/>
                <w:szCs w:val="18"/>
              </w:rPr>
            </w:pPr>
          </w:p>
        </w:tc>
        <w:tc>
          <w:tcPr>
            <w:tcW w:w="750" w:type="dxa"/>
            <w:vAlign w:val="center"/>
          </w:tcPr>
          <w:p>
            <w:pPr>
              <w:jc w:val="center"/>
              <w:rPr>
                <w:rFonts w:hint="eastAsia"/>
              </w:rPr>
            </w:pPr>
            <w:r>
              <w:rPr>
                <w:rFonts w:ascii="仿宋_GB2312" w:hAnsi="宋体" w:eastAsia="仿宋_GB2312"/>
                <w:color w:val="000000" w:themeColor="text1"/>
                <w:sz w:val="18"/>
                <w:szCs w:val="18"/>
              </w:rPr>
              <w:t>√</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hakuyoxingshu7000"/>
    <w:panose1 w:val="00000000000000000000"/>
    <w:charset w:val="86"/>
    <w:family w:val="auto"/>
    <w:pitch w:val="default"/>
    <w:sig w:usb0="00000000" w:usb1="00000000"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akuyoxingshu7000">
    <w:panose1 w:val="02000600000000000000"/>
    <w:charset w:val="86"/>
    <w:family w:val="auto"/>
    <w:pitch w:val="default"/>
    <w:sig w:usb0="FFFFFFFF" w:usb1="E9FFFFFF" w:usb2="0000003F" w:usb3="00000000" w:csb0="603F00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1A69"/>
    <w:rsid w:val="000433A9"/>
    <w:rsid w:val="000D0E6E"/>
    <w:rsid w:val="001C20E6"/>
    <w:rsid w:val="002C1406"/>
    <w:rsid w:val="003076D4"/>
    <w:rsid w:val="00467F6E"/>
    <w:rsid w:val="00527775"/>
    <w:rsid w:val="006E3D02"/>
    <w:rsid w:val="007E4388"/>
    <w:rsid w:val="009F3775"/>
    <w:rsid w:val="00DC2A4D"/>
    <w:rsid w:val="00F71A69"/>
    <w:rsid w:val="44D11131"/>
    <w:rsid w:val="488B3E30"/>
    <w:rsid w:val="74DD74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0"/>
    <w:pPr>
      <w:ind w:firstLine="420" w:firstLineChars="200"/>
    </w:pPr>
    <w:rPr>
      <w:rFonts w:ascii="等线" w:hAnsi="等线" w:eastAsia="等线"/>
    </w:rPr>
  </w:style>
  <w:style w:type="character" w:customStyle="1" w:styleId="8">
    <w:name w:val="页眉 Char"/>
    <w:basedOn w:val="6"/>
    <w:link w:val="4"/>
    <w:uiPriority w:val="0"/>
    <w:rPr>
      <w:rFonts w:ascii="Calibri" w:hAnsi="Calibri"/>
      <w:kern w:val="2"/>
      <w:sz w:val="18"/>
      <w:szCs w:val="18"/>
    </w:rPr>
  </w:style>
  <w:style w:type="character" w:customStyle="1" w:styleId="9">
    <w:name w:val="页脚 Char"/>
    <w:basedOn w:val="6"/>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418</Words>
  <Characters>2384</Characters>
  <Lines>19</Lines>
  <Paragraphs>5</Paragraphs>
  <TotalTime>3</TotalTime>
  <ScaleCrop>false</ScaleCrop>
  <LinksUpToDate>false</LinksUpToDate>
  <CharactersWithSpaces>2797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2020-12-30T02:02:23Z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