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简体" w:eastAsia="方正小标宋简体" w:cs="方正小标宋简体"/>
          <w:b w:val="0"/>
          <w:bCs w:val="0"/>
          <w:sz w:val="44"/>
          <w:szCs w:val="44"/>
        </w:rPr>
      </w:pPr>
      <w:bookmarkStart w:id="1" w:name="_GoBack"/>
      <w:bookmarkEnd w:id="1"/>
      <w:bookmarkStart w:id="0" w:name="_Toc24724716"/>
      <w:r>
        <w:rPr>
          <w:rFonts w:hint="eastAsia" w:ascii="方正小标宋简体" w:hAnsi="方正小标宋简体" w:eastAsia="方正小标宋简体" w:cs="方正小标宋简体"/>
          <w:b w:val="0"/>
          <w:bCs w:val="0"/>
          <w:sz w:val="44"/>
          <w:szCs w:val="44"/>
          <w:lang w:eastAsia="zh-CN"/>
        </w:rPr>
        <w:t>天津市</w:t>
      </w:r>
      <w:r>
        <w:rPr>
          <w:rFonts w:hint="eastAsia" w:ascii="方正小标宋简体" w:hAnsi="方正小标宋简体" w:eastAsia="方正小标宋简体" w:cs="方正小标宋简体"/>
          <w:b w:val="0"/>
          <w:bCs w:val="0"/>
          <w:sz w:val="44"/>
          <w:szCs w:val="44"/>
        </w:rPr>
        <w:t>宝坻区</w:t>
      </w:r>
      <w:r>
        <w:rPr>
          <w:rFonts w:hint="eastAsia" w:ascii="方正小标宋简体" w:hAnsi="方正小标宋简体" w:eastAsia="方正小标宋简体" w:cs="方正小标宋简体"/>
          <w:b w:val="0"/>
          <w:bCs w:val="0"/>
          <w:sz w:val="44"/>
          <w:szCs w:val="44"/>
          <w:lang w:eastAsia="zh-CN"/>
        </w:rPr>
        <w:t>新安镇人民政府生态环境领域</w:t>
      </w:r>
      <w:r>
        <w:rPr>
          <w:rFonts w:hint="eastAsia" w:ascii="方正小标宋简体" w:hAnsi="方正小标宋简体" w:eastAsia="方正小标宋简体" w:cs="方正小标宋简体"/>
          <w:b w:val="0"/>
          <w:bCs w:val="0"/>
          <w:sz w:val="44"/>
          <w:szCs w:val="44"/>
        </w:rPr>
        <w:t>政务公开标准目录</w:t>
      </w:r>
      <w:bookmarkEnd w:id="0"/>
    </w:p>
    <w:tbl>
      <w:tblPr>
        <w:tblStyle w:val="5"/>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900"/>
        <w:gridCol w:w="2520"/>
        <w:gridCol w:w="2700"/>
        <w:gridCol w:w="1620"/>
        <w:gridCol w:w="776"/>
        <w:gridCol w:w="1564"/>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pPr>
              <w:widowControl/>
              <w:jc w:val="center"/>
              <w:rPr>
                <w:rFonts w:ascii="Times New Roman" w:hAnsi="Times New Roman"/>
                <w:color w:val="000000"/>
                <w:kern w:val="0"/>
                <w:sz w:val="22"/>
              </w:rPr>
            </w:pPr>
            <w:r>
              <w:rPr>
                <w:rFonts w:hint="eastAsia" w:ascii="黑体" w:hAnsi="黑体" w:eastAsia="黑体" w:cs="黑体"/>
                <w:color w:val="000000"/>
                <w:kern w:val="0"/>
                <w:sz w:val="22"/>
              </w:rPr>
              <w:t>序号</w:t>
            </w:r>
          </w:p>
        </w:tc>
        <w:tc>
          <w:tcPr>
            <w:tcW w:w="162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52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7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62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776"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564"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Times New Roman" w:hAnsi="Times New Roman"/>
                <w:color w:val="000000"/>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520" w:type="dxa"/>
            <w:vMerge w:val="continue"/>
            <w:vAlign w:val="center"/>
          </w:tcPr>
          <w:p>
            <w:pPr>
              <w:widowControl/>
              <w:jc w:val="left"/>
              <w:rPr>
                <w:rFonts w:ascii="黑体" w:hAnsi="宋体" w:eastAsia="黑体" w:cs="宋体"/>
                <w:color w:val="000000"/>
                <w:kern w:val="0"/>
                <w:sz w:val="22"/>
              </w:rPr>
            </w:pPr>
          </w:p>
        </w:tc>
        <w:tc>
          <w:tcPr>
            <w:tcW w:w="2700" w:type="dxa"/>
            <w:vMerge w:val="continue"/>
            <w:vAlign w:val="center"/>
          </w:tcPr>
          <w:p>
            <w:pPr>
              <w:widowControl/>
              <w:jc w:val="left"/>
              <w:rPr>
                <w:rFonts w:ascii="黑体" w:hAnsi="宋体" w:eastAsia="黑体" w:cs="宋体"/>
                <w:color w:val="000000"/>
                <w:kern w:val="0"/>
                <w:sz w:val="22"/>
              </w:rPr>
            </w:pPr>
          </w:p>
        </w:tc>
        <w:tc>
          <w:tcPr>
            <w:tcW w:w="1620" w:type="dxa"/>
            <w:vMerge w:val="continue"/>
            <w:vAlign w:val="center"/>
          </w:tcPr>
          <w:p>
            <w:pPr>
              <w:widowControl/>
              <w:jc w:val="left"/>
              <w:rPr>
                <w:rFonts w:ascii="黑体" w:hAnsi="宋体" w:eastAsia="黑体" w:cs="宋体"/>
                <w:color w:val="000000"/>
                <w:kern w:val="0"/>
                <w:sz w:val="22"/>
              </w:rPr>
            </w:pPr>
          </w:p>
        </w:tc>
        <w:tc>
          <w:tcPr>
            <w:tcW w:w="776" w:type="dxa"/>
            <w:vMerge w:val="continue"/>
            <w:vAlign w:val="center"/>
          </w:tcPr>
          <w:p>
            <w:pPr>
              <w:widowControl/>
              <w:jc w:val="left"/>
              <w:rPr>
                <w:rFonts w:ascii="黑体" w:hAnsi="宋体" w:eastAsia="黑体" w:cs="宋体"/>
                <w:color w:val="000000"/>
                <w:kern w:val="0"/>
                <w:sz w:val="22"/>
              </w:rPr>
            </w:pPr>
          </w:p>
        </w:tc>
        <w:tc>
          <w:tcPr>
            <w:tcW w:w="1564"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4"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1</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w:t>
            </w:r>
            <w:r>
              <w:rPr>
                <w:rFonts w:hint="eastAsia" w:ascii="仿宋" w:hAnsi="仿宋" w:eastAsia="仿宋" w:cs="仿宋"/>
                <w:color w:val="000000"/>
                <w:sz w:val="18"/>
                <w:szCs w:val="18"/>
              </w:rPr>
              <w:br w:type="textWrapping"/>
            </w:r>
            <w:r>
              <w:rPr>
                <w:rFonts w:hint="eastAsia" w:ascii="仿宋" w:hAnsi="仿宋" w:eastAsia="仿宋" w:cs="仿宋"/>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防治污染设施拆除或闲置审批</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企业或单位关闭、闲置、拆除工业固体废物污染环境防治设施、场所的核准结果；企业或单位拆除、闲置环境噪声污染防治设施的审批结果；企业或单位拆除闲置海洋工程环境保护设施的审批结果</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《固体废物污染环境防治法》、《环境噪声污染防治法》、《海洋环境保护法》、《政府信息公开条例》、《关于全面推进政务公开工作的意见》、《开展基层政务公开标准化规范化试点工作方案》</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7"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2</w:t>
            </w:r>
          </w:p>
        </w:tc>
        <w:tc>
          <w:tcPr>
            <w:tcW w:w="720" w:type="dxa"/>
            <w:vMerge w:val="restart"/>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行政处罚行政强制和行政命令</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行政处罚流程</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行政处罚事先告知书；行政处罚听证通知书；处罚执行情况：同意分期（延期）缴纳罚款通知书、督促履行义务催告书、强制执行申请书等</w:t>
            </w:r>
          </w:p>
        </w:tc>
        <w:tc>
          <w:tcPr>
            <w:tcW w:w="2700"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水污染防治法》、《海洋环境保护法》、《大气污染防治法》、《环境噪声污染防治法》、《土壤污染防治法》、《固体废物污染环境防治法》、《放射性污染防治法》、《核安全法》、《环境影响评价法》、《政府信息公开条例》、《环境行政处罚办法》</w:t>
            </w:r>
          </w:p>
        </w:tc>
        <w:tc>
          <w:tcPr>
            <w:tcW w:w="1620"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自收到申请之日起20个工作日内</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Merge w:val="restart"/>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■精准推送</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2"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3</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行政处罚决定</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行政处罚决定书（全文公开）</w:t>
            </w:r>
          </w:p>
        </w:tc>
        <w:tc>
          <w:tcPr>
            <w:tcW w:w="2700" w:type="dxa"/>
            <w:vMerge w:val="continue"/>
            <w:vAlign w:val="center"/>
          </w:tcPr>
          <w:p>
            <w:pPr>
              <w:adjustRightInd w:val="0"/>
              <w:snapToGrid w:val="0"/>
              <w:rPr>
                <w:rFonts w:hint="eastAsia" w:ascii="仿宋" w:hAnsi="仿宋" w:eastAsia="仿宋" w:cs="仿宋"/>
                <w:color w:val="000000"/>
                <w:sz w:val="18"/>
                <w:szCs w:val="18"/>
              </w:rPr>
            </w:pPr>
          </w:p>
        </w:tc>
        <w:tc>
          <w:tcPr>
            <w:tcW w:w="1620" w:type="dxa"/>
            <w:vMerge w:val="continue"/>
            <w:vAlign w:val="center"/>
          </w:tcPr>
          <w:p>
            <w:pPr>
              <w:adjustRightInd w:val="0"/>
              <w:snapToGrid w:val="0"/>
              <w:rPr>
                <w:rFonts w:hint="eastAsia" w:ascii="仿宋" w:hAnsi="仿宋" w:eastAsia="仿宋" w:cs="仿宋"/>
                <w:color w:val="000000"/>
                <w:sz w:val="18"/>
                <w:szCs w:val="18"/>
              </w:rPr>
            </w:pPr>
          </w:p>
        </w:tc>
        <w:tc>
          <w:tcPr>
            <w:tcW w:w="776" w:type="dxa"/>
            <w:vMerge w:val="continue"/>
            <w:vAlign w:val="center"/>
          </w:tcPr>
          <w:p>
            <w:pPr>
              <w:adjustRightInd w:val="0"/>
              <w:snapToGrid w:val="0"/>
              <w:jc w:val="center"/>
              <w:rPr>
                <w:rFonts w:hint="eastAsia" w:ascii="仿宋" w:hAnsi="仿宋" w:eastAsia="仿宋" w:cs="仿宋"/>
                <w:color w:val="000000"/>
                <w:sz w:val="18"/>
                <w:szCs w:val="18"/>
              </w:rPr>
            </w:pP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3"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4</w:t>
            </w:r>
          </w:p>
        </w:tc>
        <w:tc>
          <w:tcPr>
            <w:tcW w:w="720" w:type="dxa"/>
            <w:vMerge w:val="restart"/>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行政处罚行政强制和行政命令</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行政强制流程</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查封、扣押清单；查封（扣押）延期通知书；解除查封（扣押）决定书</w:t>
            </w:r>
          </w:p>
        </w:tc>
        <w:tc>
          <w:tcPr>
            <w:tcW w:w="2700"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水污染防治法》、《海洋环境保护法》、《大气污染防治法》、《环境噪声污染防治法》、《土壤污染防治法》、《固体废物污染环境防治法》、《放射性污染防治法》、《核安全法》、《环境影响评价法》、《政府信息公开条例》、《环境行政处罚办法》</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自收到申请之日起20个工作日内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■精准推送</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3"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5</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行政强制决定</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查封、扣押决定书（全文公开）</w:t>
            </w:r>
          </w:p>
        </w:tc>
        <w:tc>
          <w:tcPr>
            <w:tcW w:w="2700" w:type="dxa"/>
            <w:vMerge w:val="continue"/>
            <w:vAlign w:val="center"/>
          </w:tcPr>
          <w:p>
            <w:pPr>
              <w:adjustRightInd w:val="0"/>
              <w:snapToGrid w:val="0"/>
              <w:rPr>
                <w:rFonts w:hint="eastAsia" w:ascii="仿宋" w:hAnsi="仿宋" w:eastAsia="仿宋" w:cs="仿宋"/>
                <w:color w:val="000000"/>
                <w:sz w:val="18"/>
                <w:szCs w:val="18"/>
              </w:rPr>
            </w:pP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8"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6</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行政命令</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责令改正违法行为决定书（全文公开）</w:t>
            </w:r>
          </w:p>
        </w:tc>
        <w:tc>
          <w:tcPr>
            <w:tcW w:w="2700" w:type="dxa"/>
            <w:vMerge w:val="continue"/>
            <w:vAlign w:val="center"/>
          </w:tcPr>
          <w:p>
            <w:pPr>
              <w:adjustRightInd w:val="0"/>
              <w:snapToGrid w:val="0"/>
              <w:rPr>
                <w:rFonts w:hint="eastAsia" w:ascii="仿宋" w:hAnsi="仿宋" w:eastAsia="仿宋" w:cs="仿宋"/>
                <w:color w:val="000000"/>
                <w:sz w:val="18"/>
                <w:szCs w:val="18"/>
              </w:rPr>
            </w:pP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continue"/>
            <w:vAlign w:val="center"/>
          </w:tcPr>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2"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7</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w:t>
            </w:r>
            <w:r>
              <w:rPr>
                <w:rFonts w:hint="eastAsia" w:ascii="仿宋" w:hAnsi="仿宋" w:eastAsia="仿宋" w:cs="仿宋"/>
                <w:color w:val="000000"/>
                <w:sz w:val="18"/>
                <w:szCs w:val="18"/>
              </w:rPr>
              <w:br w:type="textWrapping"/>
            </w:r>
            <w:r>
              <w:rPr>
                <w:rFonts w:hint="eastAsia" w:ascii="仿宋" w:hAnsi="仿宋" w:eastAsia="仿宋" w:cs="仿宋"/>
                <w:color w:val="000000"/>
                <w:sz w:val="18"/>
                <w:szCs w:val="18"/>
              </w:rPr>
              <w:t>管理</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行政奖励</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奖励办法、奖励公告、奖励决定</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水污染防治法》、《海洋环境保护法》、《大气污染防治法》、《环境噪声污染防治法》、《土壤污染防治法》、《固体废物污染环境防治法》、《放射性污染防治法》、《核安全法》、《环境影响评价法》、《政府信息公开条例》</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trPr>
        <w:tc>
          <w:tcPr>
            <w:tcW w:w="540" w:type="dxa"/>
            <w:vAlign w:val="center"/>
          </w:tcPr>
          <w:p>
            <w:pPr>
              <w:pStyle w:val="10"/>
              <w:numPr>
                <w:ilvl w:val="0"/>
                <w:numId w:val="0"/>
              </w:numPr>
              <w:adjustRightInd w:val="0"/>
              <w:snapToGrid w:val="0"/>
              <w:ind w:leftChars="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8</w:t>
            </w:r>
          </w:p>
        </w:tc>
        <w:tc>
          <w:tcPr>
            <w:tcW w:w="720" w:type="dxa"/>
            <w:vMerge w:val="restart"/>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w:t>
            </w:r>
            <w:r>
              <w:rPr>
                <w:rFonts w:hint="eastAsia" w:ascii="仿宋" w:hAnsi="仿宋" w:eastAsia="仿宋" w:cs="仿宋"/>
                <w:color w:val="000000"/>
                <w:sz w:val="18"/>
                <w:szCs w:val="18"/>
              </w:rPr>
              <w:br w:type="textWrapping"/>
            </w:r>
            <w:r>
              <w:rPr>
                <w:rFonts w:hint="eastAsia" w:ascii="仿宋" w:hAnsi="仿宋" w:eastAsia="仿宋" w:cs="仿宋"/>
                <w:color w:val="000000"/>
                <w:sz w:val="18"/>
                <w:szCs w:val="18"/>
              </w:rPr>
              <w:t>管理</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行政确认</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运行环节：受理、确认、送达、事后监管；责任事项</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《政府信息公开条例》、《关于全面推进政务公开工作的意见》</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9"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9</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行政裁决和行政调解</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运行环节：受理、审理、裁决或调解、执行；责任事项</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《环境保护法》、《水污染防治法》、《海洋环境保护法》、《噪声污染防治法》、《土壤污染防治法》、《固体废物污染环境防治法》、《政府信息公开条例》、《关于全面推进政务公开工作的意见》</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continue"/>
            <w:vAlign w:val="center"/>
          </w:tcPr>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3"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10</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eastAsia="zh-CN"/>
              </w:rPr>
              <w:t>行政管理</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行政检查</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运行环节：制定方案、实施检查、事后监管；责任事项</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《政府信息公开条例》、《关于全面推进政务公开工作的意见》</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jc w:val="both"/>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jc w:val="both"/>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jc w:val="both"/>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jc w:val="both"/>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jc w:val="both"/>
              <w:rPr>
                <w:rFonts w:hint="eastAsia" w:ascii="仿宋" w:hAnsi="仿宋" w:eastAsia="仿宋" w:cs="仿宋"/>
                <w:color w:val="000000"/>
                <w:sz w:val="18"/>
                <w:szCs w:val="18"/>
              </w:rPr>
            </w:pPr>
            <w:r>
              <w:rPr>
                <w:rFonts w:hint="eastAsia" w:ascii="仿宋" w:hAnsi="仿宋" w:eastAsia="仿宋" w:cs="仿宋"/>
                <w:color w:val="000000"/>
                <w:sz w:val="18"/>
                <w:szCs w:val="18"/>
              </w:rPr>
              <w:t xml:space="preserve"> </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2"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11</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其他行政职责</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重大建设项目环境管理</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重大建设项目生态环境行政许可情况；重大建设项目落实生态环境要求情况；重大建设项目生态环境监督管理情况</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《政府信息公开条例》、《关于全面推进政务公开工作的意见》、《开展基层政务公开标准化规范化试点工作方案》</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8"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12</w:t>
            </w:r>
          </w:p>
        </w:tc>
        <w:tc>
          <w:tcPr>
            <w:tcW w:w="720" w:type="dxa"/>
            <w:vMerge w:val="restart"/>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其他行政职责</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生态环境保护督察</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按要求公开生态环境保护督察进驻时限，举报查处情况，反馈问题整改情况。</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《政府信息公开条例》、《关于全面推进政务公开工作的意见》、《开展基层政务公开标准化规范化试点工作方案》</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13</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kern w:val="2"/>
                <w:sz w:val="18"/>
                <w:szCs w:val="18"/>
                <w:lang w:val="en-US" w:eastAsia="zh-CN" w:bidi="ar-SA"/>
              </w:rPr>
            </w:pPr>
            <w:r>
              <w:rPr>
                <w:rFonts w:hint="eastAsia" w:ascii="仿宋" w:hAnsi="仿宋" w:eastAsia="仿宋" w:cs="仿宋"/>
                <w:color w:val="000000"/>
                <w:sz w:val="18"/>
                <w:szCs w:val="18"/>
              </w:rPr>
              <w:t>生态建设</w:t>
            </w:r>
          </w:p>
        </w:tc>
        <w:tc>
          <w:tcPr>
            <w:tcW w:w="2520" w:type="dxa"/>
            <w:vAlign w:val="center"/>
          </w:tcPr>
          <w:p>
            <w:pPr>
              <w:pStyle w:val="10"/>
              <w:adjustRightInd w:val="0"/>
              <w:snapToGrid w:val="0"/>
              <w:ind w:firstLine="0" w:firstLineChars="0"/>
              <w:rPr>
                <w:rFonts w:hint="eastAsia" w:ascii="仿宋" w:hAnsi="仿宋" w:eastAsia="仿宋" w:cs="仿宋"/>
                <w:color w:val="000000"/>
                <w:kern w:val="2"/>
                <w:sz w:val="18"/>
                <w:szCs w:val="18"/>
                <w:lang w:val="en-US" w:eastAsia="zh-CN" w:bidi="ar-SA"/>
              </w:rPr>
            </w:pPr>
            <w:r>
              <w:rPr>
                <w:rFonts w:hint="eastAsia" w:ascii="仿宋" w:hAnsi="仿宋" w:eastAsia="仿宋" w:cs="仿宋"/>
                <w:color w:val="000000"/>
                <w:sz w:val="18"/>
                <w:szCs w:val="18"/>
              </w:rPr>
              <w:t>生态乡镇、生态村、生态示范户创建情况；生态文明建设示范区和“绿水青山就是金山银山”实践创新基地创建情况；农村环境综合整治情况；各类自然保护地生态环境监管执法信息；生物多样性保护、生物物种资源保护相关信息</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《政府信息公开条例》、《关于全面推进政务公开工作的意见》、《开展基层政务公开标准化规范化试点工作方案》</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14</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企业事业单位突发环境事件应急预案备案</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企业事业单位突发环境事件应急预案备案情况</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《环境保护法》、《突发事件应对法》、《政府信息公开条例》、《企业事业单位突发环境事件应急预案备案管理办法（试行）》</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sym w:font="Wingdings 2" w:char="00A3"/>
            </w: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15</w:t>
            </w:r>
          </w:p>
        </w:tc>
        <w:tc>
          <w:tcPr>
            <w:tcW w:w="720" w:type="dxa"/>
            <w:vMerge w:val="restart"/>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公共服务事项</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生态环境保护政策与业务</w:t>
            </w:r>
          </w:p>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咨询</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生态环境保护政策与业务咨询答复函</w:t>
            </w:r>
          </w:p>
        </w:tc>
        <w:tc>
          <w:tcPr>
            <w:tcW w:w="2700"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《环境保护法》、《政府信息公开条例》</w:t>
            </w:r>
          </w:p>
        </w:tc>
        <w:tc>
          <w:tcPr>
            <w:tcW w:w="1620"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5"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16</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生态环境主题活动组织情况</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 w:hAnsi="仿宋" w:eastAsia="仿宋" w:cs="仿宋"/>
                <w:color w:val="000000"/>
                <w:sz w:val="18"/>
                <w:szCs w:val="18"/>
              </w:rPr>
              <w:t>环保公众开放活动通知、活动开展情况；参观环境宣传教育基地活动开展情况；在公共场所开展环境保护宣传教育活动通知、活动开展情况；六五环境日、全国低碳日等主题宣传活动通知、活动开展情况；开展生态、环保类教育培训活动通知、活动开展情况</w:t>
            </w:r>
          </w:p>
        </w:tc>
        <w:tc>
          <w:tcPr>
            <w:tcW w:w="2700" w:type="dxa"/>
            <w:vMerge w:val="continue"/>
            <w:vAlign w:val="center"/>
          </w:tcPr>
          <w:p>
            <w:pPr>
              <w:adjustRightInd w:val="0"/>
              <w:snapToGrid w:val="0"/>
              <w:rPr>
                <w:rFonts w:hint="eastAsia" w:ascii="仿宋" w:hAnsi="仿宋" w:eastAsia="仿宋" w:cs="仿宋"/>
                <w:color w:val="000000"/>
                <w:sz w:val="18"/>
                <w:szCs w:val="18"/>
              </w:rPr>
            </w:pPr>
          </w:p>
        </w:tc>
        <w:tc>
          <w:tcPr>
            <w:tcW w:w="1620" w:type="dxa"/>
            <w:vMerge w:val="continue"/>
            <w:vAlign w:val="center"/>
          </w:tcPr>
          <w:p>
            <w:pPr>
              <w:adjustRightInd w:val="0"/>
              <w:snapToGrid w:val="0"/>
              <w:rPr>
                <w:rFonts w:hint="eastAsia" w:ascii="仿宋" w:hAnsi="仿宋" w:eastAsia="仿宋" w:cs="仿宋"/>
                <w:color w:val="000000"/>
                <w:sz w:val="18"/>
                <w:szCs w:val="18"/>
              </w:rPr>
            </w:pPr>
          </w:p>
        </w:tc>
        <w:tc>
          <w:tcPr>
            <w:tcW w:w="776" w:type="dxa"/>
            <w:vAlign w:val="center"/>
          </w:tcPr>
          <w:p>
            <w:pPr>
              <w:adjustRightInd w:val="0"/>
              <w:snapToGrid w:val="0"/>
              <w:jc w:val="both"/>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continue"/>
            <w:vAlign w:val="center"/>
          </w:tcPr>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17</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生态环境污染举报咨询</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生态环境举报、咨询方式（电话、地址等）</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《环境保护法》、《政府信息公开条例》、《环境信访办法》</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themeColor="text1"/>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7"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18</w:t>
            </w:r>
          </w:p>
        </w:tc>
        <w:tc>
          <w:tcPr>
            <w:tcW w:w="720" w:type="dxa"/>
            <w:vMerge w:val="restart"/>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公共服务事项</w:t>
            </w:r>
          </w:p>
        </w:tc>
        <w:tc>
          <w:tcPr>
            <w:tcW w:w="900" w:type="dxa"/>
            <w:shd w:val="clear" w:color="auto" w:fill="auto"/>
            <w:vAlign w:val="center"/>
          </w:tcPr>
          <w:p>
            <w:pPr>
              <w:adjustRightInd w:val="0"/>
              <w:snapToGrid w:val="0"/>
              <w:jc w:val="center"/>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污染源监督监测</w:t>
            </w:r>
          </w:p>
        </w:tc>
        <w:tc>
          <w:tcPr>
            <w:tcW w:w="2520" w:type="dxa"/>
            <w:vAlign w:val="center"/>
          </w:tcPr>
          <w:p>
            <w:pPr>
              <w:adjustRightInd w:val="0"/>
              <w:snapToGrid w:val="0"/>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重点排污单位监督性监测信息</w:t>
            </w:r>
          </w:p>
        </w:tc>
        <w:tc>
          <w:tcPr>
            <w:tcW w:w="2700" w:type="dxa"/>
            <w:vAlign w:val="center"/>
          </w:tcPr>
          <w:p>
            <w:pPr>
              <w:adjustRightInd w:val="0"/>
              <w:snapToGrid w:val="0"/>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《政府信息公开条例》、《国家重点监控企业污染源监督性监测及信息公开办法》、《国家生态环境监测方案》、每年印发的全国生态环境监测工作要点</w:t>
            </w:r>
          </w:p>
        </w:tc>
        <w:tc>
          <w:tcPr>
            <w:tcW w:w="1620" w:type="dxa"/>
            <w:vAlign w:val="center"/>
          </w:tcPr>
          <w:p>
            <w:pPr>
              <w:adjustRightInd w:val="0"/>
              <w:snapToGrid w:val="0"/>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themeColor="text1"/>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■政府网站</w:t>
            </w:r>
          </w:p>
          <w:p>
            <w:pPr>
              <w:adjustRightInd w:val="0"/>
              <w:snapToGrid w:val="0"/>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□两微一端</w:t>
            </w:r>
          </w:p>
          <w:p>
            <w:pPr>
              <w:adjustRightInd w:val="0"/>
              <w:snapToGrid w:val="0"/>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□政务服务中心</w:t>
            </w:r>
          </w:p>
          <w:p>
            <w:pPr>
              <w:adjustRightInd w:val="0"/>
              <w:snapToGrid w:val="0"/>
              <w:rPr>
                <w:rFonts w:hint="eastAsia" w:ascii="仿宋" w:hAnsi="仿宋" w:eastAsia="仿宋" w:cs="仿宋"/>
                <w:color w:val="000000" w:themeColor="text1"/>
                <w:sz w:val="18"/>
                <w:szCs w:val="18"/>
              </w:rPr>
            </w:pPr>
            <w:r>
              <w:rPr>
                <w:rFonts w:hint="eastAsia" w:ascii="仿宋" w:hAnsi="仿宋" w:eastAsia="仿宋" w:cs="仿宋"/>
                <w:color w:val="000000" w:themeColor="text1"/>
                <w:sz w:val="18"/>
                <w:szCs w:val="18"/>
              </w:rPr>
              <w:t>□便民服务站</w:t>
            </w:r>
          </w:p>
          <w:p>
            <w:pPr>
              <w:adjustRightInd w:val="0"/>
              <w:snapToGrid w:val="0"/>
              <w:rPr>
                <w:rFonts w:hint="eastAsia" w:ascii="仿宋" w:hAnsi="仿宋" w:eastAsia="仿宋" w:cs="仿宋"/>
                <w:color w:val="000000" w:themeColor="text1"/>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19</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污染源信息发布</w:t>
            </w:r>
          </w:p>
        </w:tc>
        <w:tc>
          <w:tcPr>
            <w:tcW w:w="2520" w:type="dxa"/>
            <w:vAlign w:val="center"/>
          </w:tcPr>
          <w:p>
            <w:pPr>
              <w:adjustRightInd w:val="0"/>
              <w:snapToGrid w:val="0"/>
              <w:rPr>
                <w:rFonts w:hint="eastAsia" w:ascii="仿宋" w:hAnsi="仿宋" w:eastAsia="仿宋" w:cs="仿宋"/>
                <w:color w:val="000000"/>
                <w:sz w:val="18"/>
                <w:szCs w:val="18"/>
                <w:lang w:eastAsia="zh-CN"/>
              </w:rPr>
            </w:pPr>
            <w:r>
              <w:rPr>
                <w:rFonts w:hint="eastAsia" w:ascii="仿宋" w:hAnsi="仿宋" w:eastAsia="仿宋" w:cs="仿宋"/>
                <w:color w:val="000000"/>
                <w:sz w:val="18"/>
                <w:szCs w:val="18"/>
              </w:rPr>
              <w:t>重点排污单位基本情况、</w:t>
            </w:r>
            <w:r>
              <w:rPr>
                <w:rFonts w:hint="eastAsia" w:ascii="仿宋" w:hAnsi="仿宋" w:eastAsia="仿宋" w:cs="仿宋"/>
                <w:color w:val="000000"/>
                <w:sz w:val="18"/>
                <w:szCs w:val="18"/>
                <w:lang w:eastAsia="zh-CN"/>
              </w:rPr>
              <w:t>监测及治污设施运行情况</w:t>
            </w:r>
            <w:r>
              <w:rPr>
                <w:rFonts w:hint="eastAsia" w:ascii="仿宋" w:hAnsi="仿宋" w:eastAsia="仿宋" w:cs="仿宋"/>
                <w:color w:val="000000"/>
                <w:sz w:val="18"/>
                <w:szCs w:val="18"/>
              </w:rPr>
              <w:t>，重点排污单位环境信息公开情况监管信息</w:t>
            </w:r>
            <w:r>
              <w:rPr>
                <w:rFonts w:hint="eastAsia" w:ascii="仿宋" w:hAnsi="仿宋" w:eastAsia="仿宋" w:cs="仿宋"/>
                <w:color w:val="000000"/>
                <w:sz w:val="18"/>
                <w:szCs w:val="18"/>
                <w:lang w:eastAsia="zh-CN"/>
              </w:rPr>
              <w:t>（双随机）</w:t>
            </w:r>
          </w:p>
        </w:tc>
        <w:tc>
          <w:tcPr>
            <w:tcW w:w="2700"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《环境保护法》、《政府信息公开条例》</w:t>
            </w:r>
          </w:p>
        </w:tc>
        <w:tc>
          <w:tcPr>
            <w:tcW w:w="1620"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restart"/>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3"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20</w:t>
            </w:r>
          </w:p>
        </w:tc>
        <w:tc>
          <w:tcPr>
            <w:tcW w:w="720" w:type="dxa"/>
            <w:vMerge w:val="continue"/>
            <w:shd w:val="clear" w:color="auto" w:fill="auto"/>
            <w:vAlign w:val="center"/>
          </w:tcPr>
          <w:p>
            <w:pPr>
              <w:adjustRightInd w:val="0"/>
              <w:snapToGrid w:val="0"/>
              <w:rPr>
                <w:rFonts w:hint="eastAsia" w:ascii="仿宋" w:hAnsi="仿宋" w:eastAsia="仿宋" w:cs="仿宋"/>
                <w:color w:val="000000"/>
                <w:sz w:val="18"/>
                <w:szCs w:val="18"/>
              </w:rPr>
            </w:pP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生态环境举报信访信息发布</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公开重点生态环境举报、信访案件及处理情况</w:t>
            </w:r>
          </w:p>
        </w:tc>
        <w:tc>
          <w:tcPr>
            <w:tcW w:w="2700" w:type="dxa"/>
            <w:vMerge w:val="continue"/>
            <w:vAlign w:val="center"/>
          </w:tcPr>
          <w:p>
            <w:pPr>
              <w:adjustRightInd w:val="0"/>
              <w:snapToGrid w:val="0"/>
              <w:rPr>
                <w:rFonts w:hint="eastAsia" w:ascii="仿宋" w:hAnsi="仿宋" w:eastAsia="仿宋" w:cs="仿宋"/>
                <w:color w:val="000000"/>
                <w:sz w:val="18"/>
                <w:szCs w:val="18"/>
              </w:rPr>
            </w:pPr>
          </w:p>
        </w:tc>
        <w:tc>
          <w:tcPr>
            <w:tcW w:w="1620" w:type="dxa"/>
            <w:vMerge w:val="continue"/>
            <w:vAlign w:val="center"/>
          </w:tcPr>
          <w:p>
            <w:pPr>
              <w:adjustRightInd w:val="0"/>
              <w:snapToGrid w:val="0"/>
              <w:rPr>
                <w:rFonts w:hint="eastAsia" w:ascii="仿宋" w:hAnsi="仿宋" w:eastAsia="仿宋" w:cs="仿宋"/>
                <w:color w:val="000000"/>
                <w:sz w:val="18"/>
                <w:szCs w:val="18"/>
              </w:rPr>
            </w:pP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Merge w:val="continue"/>
            <w:vAlign w:val="center"/>
          </w:tcPr>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7" w:hRule="atLeast"/>
        </w:trPr>
        <w:tc>
          <w:tcPr>
            <w:tcW w:w="540" w:type="dxa"/>
            <w:vAlign w:val="center"/>
          </w:tcPr>
          <w:p>
            <w:pPr>
              <w:pStyle w:val="10"/>
              <w:numPr>
                <w:ilvl w:val="0"/>
                <w:numId w:val="0"/>
              </w:numPr>
              <w:adjustRightInd w:val="0"/>
              <w:snapToGrid w:val="0"/>
              <w:ind w:leftChars="0"/>
              <w:jc w:val="center"/>
              <w:rPr>
                <w:rFonts w:hint="default"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21</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公共服务事项</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 w:hAnsi="仿宋" w:eastAsia="仿宋" w:cs="仿宋"/>
                <w:color w:val="000000"/>
                <w:sz w:val="18"/>
                <w:szCs w:val="18"/>
              </w:rPr>
              <w:t>生态环境质量信息发布</w:t>
            </w:r>
          </w:p>
        </w:tc>
        <w:tc>
          <w:tcPr>
            <w:tcW w:w="25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水环境质量信息（地表水监测结果和集中式生活饮用水水源水质状况报告）；PM2.5浓度；声环境功能区监测结果</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《环境保护法》、《政府信息公开条例》、《国务院关于印发水污染防治行动计划的通知》</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■政府网站</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□两微一端</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sym w:font="Wingdings 2" w:char="00A3"/>
            </w:r>
            <w:r>
              <w:rPr>
                <w:rFonts w:hint="eastAsia" w:ascii="仿宋" w:hAnsi="仿宋" w:eastAsia="仿宋" w:cs="仿宋"/>
                <w:color w:val="000000"/>
                <w:sz w:val="18"/>
                <w:szCs w:val="18"/>
              </w:rPr>
              <w:t>政务服务中心</w:t>
            </w:r>
          </w:p>
          <w:p>
            <w:pPr>
              <w:adjustRightInd w:val="0"/>
              <w:snapToGrid w:val="0"/>
              <w:rPr>
                <w:rFonts w:hint="eastAsia" w:ascii="仿宋" w:hAnsi="仿宋" w:eastAsia="仿宋" w:cs="仿宋"/>
                <w:color w:val="000000"/>
                <w:sz w:val="18"/>
                <w:szCs w:val="18"/>
              </w:rPr>
            </w:pPr>
            <w:r>
              <w:rPr>
                <w:rFonts w:hint="eastAsia" w:ascii="仿宋" w:hAnsi="仿宋" w:eastAsia="仿宋" w:cs="仿宋"/>
                <w:color w:val="000000"/>
                <w:sz w:val="18"/>
                <w:szCs w:val="18"/>
              </w:rPr>
              <w:t>□便民服务站</w:t>
            </w:r>
          </w:p>
          <w:p>
            <w:pPr>
              <w:adjustRightInd w:val="0"/>
              <w:snapToGrid w:val="0"/>
              <w:rPr>
                <w:rFonts w:hint="eastAsia" w:ascii="仿宋" w:hAnsi="仿宋" w:eastAsia="仿宋" w:cs="仿宋"/>
                <w:color w:val="000000"/>
                <w:sz w:val="18"/>
                <w:szCs w:val="18"/>
              </w:rPr>
            </w:pP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22</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建设项目环境影响评价文件审批</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rPr>
              <w:t>受理环节：受理情况公示、</w:t>
            </w:r>
            <w:r>
              <w:rPr>
                <w:rFonts w:ascii="仿宋_GB2312" w:hAnsi="宋体" w:eastAsia="仿宋_GB2312"/>
                <w:color w:val="000000"/>
                <w:sz w:val="18"/>
                <w:szCs w:val="18"/>
              </w:rPr>
              <w:t>报告书（</w:t>
            </w:r>
            <w:r>
              <w:rPr>
                <w:rFonts w:hint="eastAsia" w:ascii="仿宋_GB2312" w:hAnsi="宋体" w:eastAsia="仿宋_GB2312"/>
                <w:color w:val="000000"/>
                <w:sz w:val="18"/>
                <w:szCs w:val="18"/>
              </w:rPr>
              <w:t>表</w:t>
            </w:r>
            <w:r>
              <w:rPr>
                <w:rFonts w:ascii="仿宋_GB2312" w:hAnsi="宋体" w:eastAsia="仿宋_GB2312"/>
                <w:color w:val="000000"/>
                <w:sz w:val="18"/>
                <w:szCs w:val="18"/>
              </w:rPr>
              <w:t>）</w:t>
            </w:r>
            <w:r>
              <w:rPr>
                <w:rFonts w:hint="eastAsia" w:ascii="仿宋_GB2312" w:hAnsi="宋体" w:eastAsia="仿宋_GB2312"/>
                <w:color w:val="000000"/>
                <w:sz w:val="18"/>
                <w:szCs w:val="18"/>
              </w:rPr>
              <w:t>全本；拟决定环节：拟审查</w:t>
            </w:r>
            <w:r>
              <w:rPr>
                <w:rFonts w:ascii="仿宋_GB2312" w:hAnsi="宋体" w:eastAsia="仿宋_GB2312"/>
                <w:color w:val="000000"/>
                <w:sz w:val="18"/>
                <w:szCs w:val="18"/>
              </w:rPr>
              <w:t>环评文件基本情况公示</w:t>
            </w:r>
            <w:r>
              <w:rPr>
                <w:rFonts w:hint="eastAsia" w:ascii="仿宋_GB2312" w:hAnsi="宋体" w:eastAsia="仿宋_GB2312"/>
                <w:color w:val="000000"/>
                <w:sz w:val="18"/>
                <w:szCs w:val="18"/>
              </w:rPr>
              <w:t>；决定环节：环评批复</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《行政许可法》 《政府信息公开条例》 《中华人民共和国环境保护法》（中华人民共和国主席令 第九号） 《中华人民共和国环境影响评价法》（2018年12月29日第二次修正） 《国家环境保护总局建设项目环境影响评价文件审批程序规定》（2005年总局令第29号）</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23</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防治污染</w:t>
            </w:r>
            <w:r>
              <w:rPr>
                <w:rFonts w:ascii="仿宋_GB2312" w:hAnsi="宋体" w:eastAsia="仿宋_GB2312"/>
                <w:color w:val="000000"/>
                <w:sz w:val="18"/>
                <w:szCs w:val="18"/>
              </w:rPr>
              <w:t>设施拆除或闲置审批</w:t>
            </w:r>
          </w:p>
        </w:tc>
        <w:tc>
          <w:tcPr>
            <w:tcW w:w="2520" w:type="dxa"/>
            <w:vAlign w:val="center"/>
          </w:tcPr>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rPr>
              <w:t>企业或单位关闭、闲置、拆除工业固体废物污染环境防治设施、场所的核准结果；企业或单位拆除、闲置环境噪声污染防治设施的审批结果</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《行政许可法》 《政府信息公开条例》 《中华人民共和国水污染防治法》（2017年修订） 《天津市大气污染防治条例》（2015年）</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24</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建设项目环境保护设施竣工验收</w:t>
            </w:r>
          </w:p>
        </w:tc>
        <w:tc>
          <w:tcPr>
            <w:tcW w:w="2520" w:type="dxa"/>
            <w:vAlign w:val="center"/>
          </w:tcPr>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lang w:val="en-US" w:eastAsia="zh-CN"/>
              </w:rPr>
              <w:t>4.行政许可决定书及相关许可证信息</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《行政许可法》 《政府信息公开条例》 《中华人民共和国环境噪声污染防治法》（1997年3月1日起施行） 《建设项目竣工环境保护验收管理办法》（环境保护总局令第13号，2010年修正） 《国家环境保护总局建设项目环境影响评价文件审批程序规定》（2005年总局令第29号）</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25</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排污许可证</w:t>
            </w:r>
          </w:p>
        </w:tc>
        <w:tc>
          <w:tcPr>
            <w:tcW w:w="2520" w:type="dxa"/>
            <w:vAlign w:val="center"/>
          </w:tcPr>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lang w:val="en-US" w:eastAsia="zh-CN"/>
              </w:rPr>
              <w:t>4.行政许可决定书及相关许可证信息</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《行政许可法》 《政府信息公开条例》《中华人民共和国水污染防治法》（2017年修正） 《中华人民共和国环境保护法》（主席令第22号，2014年修订） 《中华人民共和国大气污染防治法》（主席令31号，2015年修订） 《中华人民共和国水污染防治法实施细则》（2000年国务院令第284号） 《国务院办公厅关于印发控制污染物排放许可制实施方案的通知》（国办发〔2016〕81号） 《排污许可管理办法（试行）》（2018年环境保护部令第48号） 《排污许可证管理暂行规定》（环水体[2016]186号）</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26</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辐射安全许可（市级部分权限委托实施）</w:t>
            </w:r>
          </w:p>
        </w:tc>
        <w:tc>
          <w:tcPr>
            <w:tcW w:w="2520" w:type="dxa"/>
            <w:vAlign w:val="center"/>
          </w:tcPr>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lang w:val="en-US" w:eastAsia="zh-CN"/>
              </w:rPr>
              <w:t>4.行政许可决定书及相关许可证信息</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《行政许可法》 《政府信息公开条例》 《中华人民共和国放射性污染防治法》（2003年） 《国务院关于取消和下放一批行政审批项目的决定》（国发〔2014〕5号） 《放射性同位素与射线装置安全和防护条例》（2005年国务院令第449号） 《放射性同位素与射线装置安全许可管理办法》（国家环境保护总局令第31号，2008年修正）</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27</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工业固体废物污染环境防治设施、场所的关闭、闲置或者拆除核准</w:t>
            </w:r>
          </w:p>
        </w:tc>
        <w:tc>
          <w:tcPr>
            <w:tcW w:w="2520" w:type="dxa"/>
            <w:vAlign w:val="center"/>
          </w:tcPr>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lang w:val="en-US" w:eastAsia="zh-CN"/>
              </w:rPr>
              <w:t>4.行政许可决定书及相关许可证信息</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《行政许可法》 《政府信息公开条例》 《中华人民共和国固体废物污染环境防治法》（2016年修正）</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28</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从事机动车维修活动中生产的废矿物油和居民日常生活中产生的废镍镉电池的危险废物收集经营许可</w:t>
            </w:r>
          </w:p>
        </w:tc>
        <w:tc>
          <w:tcPr>
            <w:tcW w:w="2520" w:type="dxa"/>
            <w:vAlign w:val="center"/>
          </w:tcPr>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lang w:val="en-US" w:eastAsia="zh-CN"/>
              </w:rPr>
              <w:t>4.行政许可决定书及相关许可证信息</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 xml:space="preserve">《行政许可法》 《政府信息公开条例》 《中华人民共和国固体废物污染环境防治法》（2017年修正） 《危险废物经营许可证管理办法》（国务院令第408号，2016年修订） </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540" w:type="dxa"/>
            <w:vAlign w:val="center"/>
          </w:tcPr>
          <w:p>
            <w:pPr>
              <w:pStyle w:val="10"/>
              <w:adjustRightInd w:val="0"/>
              <w:snapToGrid w:val="0"/>
              <w:ind w:firstLine="0" w:firstLineChars="0"/>
              <w:jc w:val="center"/>
              <w:rPr>
                <w:rFonts w:hint="eastAsia" w:ascii="仿宋" w:hAnsi="仿宋" w:eastAsia="仿宋" w:cs="仿宋"/>
                <w:color w:val="000000"/>
                <w:sz w:val="18"/>
                <w:szCs w:val="18"/>
                <w:lang w:val="en-US" w:eastAsia="zh-CN"/>
              </w:rPr>
            </w:pPr>
            <w:r>
              <w:rPr>
                <w:rFonts w:hint="eastAsia" w:ascii="仿宋_GB2312" w:hAnsi="宋体" w:eastAsia="仿宋_GB2312"/>
                <w:color w:val="000000"/>
                <w:sz w:val="18"/>
                <w:szCs w:val="18"/>
                <w:lang w:val="en-US" w:eastAsia="zh-CN"/>
              </w:rPr>
              <w:t>29</w:t>
            </w:r>
          </w:p>
        </w:tc>
        <w:tc>
          <w:tcPr>
            <w:tcW w:w="72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shd w:val="clear" w:color="auto" w:fill="auto"/>
            <w:vAlign w:val="center"/>
          </w:tcPr>
          <w:p>
            <w:pPr>
              <w:adjustRightInd w:val="0"/>
              <w:snapToGrid w:val="0"/>
              <w:jc w:val="center"/>
              <w:rPr>
                <w:rFonts w:hint="eastAsia" w:ascii="仿宋" w:hAnsi="仿宋" w:eastAsia="仿宋" w:cs="仿宋"/>
                <w:color w:val="000000"/>
                <w:sz w:val="18"/>
                <w:szCs w:val="18"/>
              </w:rPr>
            </w:pPr>
            <w:r>
              <w:rPr>
                <w:rFonts w:hint="eastAsia" w:ascii="仿宋_GB2312" w:hAnsi="宋体" w:eastAsia="仿宋_GB2312"/>
                <w:color w:val="000000"/>
                <w:sz w:val="18"/>
                <w:szCs w:val="18"/>
              </w:rPr>
              <w:t>建设项目夜间施工许可</w:t>
            </w:r>
          </w:p>
        </w:tc>
        <w:tc>
          <w:tcPr>
            <w:tcW w:w="2520" w:type="dxa"/>
            <w:vAlign w:val="center"/>
          </w:tcPr>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10"/>
              <w:adjustRightInd w:val="0"/>
              <w:snapToGrid w:val="0"/>
              <w:ind w:firstLine="0" w:firstLineChars="0"/>
              <w:rPr>
                <w:rFonts w:hint="eastAsia"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10"/>
              <w:adjustRightInd w:val="0"/>
              <w:snapToGrid w:val="0"/>
              <w:ind w:firstLine="0" w:firstLineChars="0"/>
              <w:rPr>
                <w:rFonts w:hint="eastAsia" w:ascii="仿宋" w:hAnsi="仿宋" w:eastAsia="仿宋" w:cs="仿宋"/>
                <w:color w:val="000000"/>
                <w:sz w:val="18"/>
                <w:szCs w:val="18"/>
              </w:rPr>
            </w:pPr>
            <w:r>
              <w:rPr>
                <w:rFonts w:hint="eastAsia" w:ascii="仿宋_GB2312" w:hAnsi="宋体" w:eastAsia="仿宋_GB2312"/>
                <w:color w:val="000000"/>
                <w:sz w:val="18"/>
                <w:szCs w:val="18"/>
                <w:lang w:val="en-US" w:eastAsia="zh-CN"/>
              </w:rPr>
              <w:t>4.行政许可决定书及相关许可证信息</w:t>
            </w:r>
          </w:p>
        </w:tc>
        <w:tc>
          <w:tcPr>
            <w:tcW w:w="270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《行政许可法》 《政府信息公开条例》 《中华人民共和国水污染防治法》（2017年修订） 《天津市大气污染防治条例》（2015年）</w:t>
            </w:r>
          </w:p>
        </w:tc>
        <w:tc>
          <w:tcPr>
            <w:tcW w:w="1620"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color w:val="000000"/>
                <w:sz w:val="18"/>
                <w:szCs w:val="18"/>
              </w:rPr>
              <w:t>自该信息形成或者变更之日起20个工作日内</w:t>
            </w:r>
          </w:p>
        </w:tc>
        <w:tc>
          <w:tcPr>
            <w:tcW w:w="776" w:type="dxa"/>
            <w:vAlign w:val="center"/>
          </w:tcPr>
          <w:p>
            <w:pPr>
              <w:adjustRightInd w:val="0"/>
              <w:snapToGrid w:val="0"/>
              <w:jc w:val="center"/>
              <w:rPr>
                <w:rFonts w:hint="eastAsia" w:ascii="仿宋" w:hAnsi="仿宋" w:eastAsia="仿宋" w:cs="仿宋"/>
                <w:color w:val="000000"/>
                <w:sz w:val="18"/>
                <w:szCs w:val="18"/>
                <w:lang w:eastAsia="zh-CN"/>
              </w:rPr>
            </w:pPr>
            <w:r>
              <w:rPr>
                <w:rFonts w:hint="eastAsia" w:ascii="仿宋" w:hAnsi="仿宋" w:eastAsia="仿宋" w:cs="仿宋"/>
                <w:color w:val="000000"/>
                <w:sz w:val="18"/>
                <w:szCs w:val="18"/>
                <w:lang w:val="en-US" w:eastAsia="zh-CN"/>
              </w:rPr>
              <w:t>天津市宝坻区新安镇人民政府</w:t>
            </w:r>
          </w:p>
        </w:tc>
        <w:tc>
          <w:tcPr>
            <w:tcW w:w="1564" w:type="dxa"/>
            <w:vAlign w:val="center"/>
          </w:tcPr>
          <w:p>
            <w:pPr>
              <w:adjustRightInd w:val="0"/>
              <w:snapToGrid w:val="0"/>
              <w:rPr>
                <w:rFonts w:hint="eastAsia" w:ascii="仿宋" w:hAnsi="仿宋" w:eastAsia="仿宋" w:cs="仿宋"/>
                <w:color w:val="000000"/>
                <w:sz w:val="18"/>
                <w:szCs w:val="18"/>
              </w:rPr>
            </w:pPr>
            <w:r>
              <w:rPr>
                <w:rFonts w:hint="eastAsia" w:ascii="仿宋_GB2312" w:hAnsi="宋体" w:eastAsia="仿宋_GB2312"/>
                <w:sz w:val="18"/>
                <w:szCs w:val="18"/>
              </w:rPr>
              <w:t>■天津网上办事大厅</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shd w:val="clear" w:color="auto" w:fill="auto"/>
            <w:vAlign w:val="center"/>
          </w:tcPr>
          <w:p>
            <w:pPr>
              <w:adjustRightInd w:val="0"/>
              <w:snapToGrid w:val="0"/>
              <w:jc w:val="center"/>
              <w:rPr>
                <w:rFonts w:ascii="仿宋_GB2312" w:hAnsi="宋体" w:eastAsia="仿宋_GB2312"/>
                <w:color w:val="000000"/>
                <w:sz w:val="18"/>
                <w:szCs w:val="18"/>
              </w:rPr>
            </w:pPr>
          </w:p>
        </w:tc>
        <w:tc>
          <w:tcPr>
            <w:tcW w:w="551" w:type="dxa"/>
            <w:shd w:val="clear" w:color="auto" w:fill="auto"/>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shd w:val="clear" w:color="auto" w:fill="auto"/>
            <w:vAlign w:val="center"/>
          </w:tcPr>
          <w:p>
            <w:pPr>
              <w:adjustRightInd w:val="0"/>
              <w:snapToGrid w:val="0"/>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p>
        </w:tc>
        <w:tc>
          <w:tcPr>
            <w:tcW w:w="720" w:type="dxa"/>
            <w:shd w:val="clear" w:color="auto" w:fill="auto"/>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bl>
    <w:p>
      <w:pPr>
        <w:rPr>
          <w:rFonts w:hint="eastAsia" w:ascii="黑体" w:hAnsi="黑体" w:eastAsia="黑体" w:cs="黑体"/>
          <w:b w:val="0"/>
          <w:bCs w:val="0"/>
          <w:sz w:val="32"/>
          <w:szCs w:val="32"/>
          <w:lang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5D7A"/>
    <w:rsid w:val="001B338E"/>
    <w:rsid w:val="001F785F"/>
    <w:rsid w:val="002378F9"/>
    <w:rsid w:val="002608A9"/>
    <w:rsid w:val="00360243"/>
    <w:rsid w:val="003B7008"/>
    <w:rsid w:val="004A211E"/>
    <w:rsid w:val="004F5492"/>
    <w:rsid w:val="005E3009"/>
    <w:rsid w:val="006A2021"/>
    <w:rsid w:val="006E57B9"/>
    <w:rsid w:val="00702192"/>
    <w:rsid w:val="007343C7"/>
    <w:rsid w:val="007D47A0"/>
    <w:rsid w:val="008032A1"/>
    <w:rsid w:val="009759B6"/>
    <w:rsid w:val="00A95D7A"/>
    <w:rsid w:val="00AB1CA3"/>
    <w:rsid w:val="00AC5C4E"/>
    <w:rsid w:val="00AE4869"/>
    <w:rsid w:val="00B1359F"/>
    <w:rsid w:val="00C10000"/>
    <w:rsid w:val="00C56567"/>
    <w:rsid w:val="00C86F32"/>
    <w:rsid w:val="00CC2339"/>
    <w:rsid w:val="00CD6191"/>
    <w:rsid w:val="00D66979"/>
    <w:rsid w:val="00DE1D14"/>
    <w:rsid w:val="00EA4DB4"/>
    <w:rsid w:val="01124472"/>
    <w:rsid w:val="013C2E91"/>
    <w:rsid w:val="014B4C82"/>
    <w:rsid w:val="01DC0B8B"/>
    <w:rsid w:val="01F562F7"/>
    <w:rsid w:val="02080A2B"/>
    <w:rsid w:val="027002B7"/>
    <w:rsid w:val="03431AA8"/>
    <w:rsid w:val="03C233AF"/>
    <w:rsid w:val="044B014A"/>
    <w:rsid w:val="04905442"/>
    <w:rsid w:val="05615ED4"/>
    <w:rsid w:val="069312AF"/>
    <w:rsid w:val="06B065CA"/>
    <w:rsid w:val="077C059E"/>
    <w:rsid w:val="08917DCB"/>
    <w:rsid w:val="09675CB0"/>
    <w:rsid w:val="0A045BDE"/>
    <w:rsid w:val="0A8416A4"/>
    <w:rsid w:val="0B2273E8"/>
    <w:rsid w:val="0B7B7B46"/>
    <w:rsid w:val="0BD036D7"/>
    <w:rsid w:val="0C1C29CB"/>
    <w:rsid w:val="0D363176"/>
    <w:rsid w:val="0D4170AC"/>
    <w:rsid w:val="0D8C1F9E"/>
    <w:rsid w:val="0D93401B"/>
    <w:rsid w:val="0EBA16B6"/>
    <w:rsid w:val="0F1C73D2"/>
    <w:rsid w:val="0F373241"/>
    <w:rsid w:val="0F6D79BD"/>
    <w:rsid w:val="0FB733BE"/>
    <w:rsid w:val="0FE03E81"/>
    <w:rsid w:val="1116336B"/>
    <w:rsid w:val="1189016F"/>
    <w:rsid w:val="118D797B"/>
    <w:rsid w:val="14070956"/>
    <w:rsid w:val="14FA10DB"/>
    <w:rsid w:val="14FB2E70"/>
    <w:rsid w:val="1540498F"/>
    <w:rsid w:val="17F4079E"/>
    <w:rsid w:val="186B1B9E"/>
    <w:rsid w:val="18786A6C"/>
    <w:rsid w:val="19D12EC4"/>
    <w:rsid w:val="1A8F5B29"/>
    <w:rsid w:val="1B9F1B52"/>
    <w:rsid w:val="1CD152B7"/>
    <w:rsid w:val="1CEE5361"/>
    <w:rsid w:val="1D032335"/>
    <w:rsid w:val="1F5A4ECD"/>
    <w:rsid w:val="20EC0524"/>
    <w:rsid w:val="23075220"/>
    <w:rsid w:val="237F55FA"/>
    <w:rsid w:val="238058E3"/>
    <w:rsid w:val="23F028D6"/>
    <w:rsid w:val="244639B7"/>
    <w:rsid w:val="24557D76"/>
    <w:rsid w:val="2478405F"/>
    <w:rsid w:val="24B571A4"/>
    <w:rsid w:val="25242C18"/>
    <w:rsid w:val="26A01057"/>
    <w:rsid w:val="27771461"/>
    <w:rsid w:val="292D12C3"/>
    <w:rsid w:val="29363885"/>
    <w:rsid w:val="296F4344"/>
    <w:rsid w:val="297B0281"/>
    <w:rsid w:val="29C84809"/>
    <w:rsid w:val="2A7F50CF"/>
    <w:rsid w:val="2B192C4B"/>
    <w:rsid w:val="2B7068A4"/>
    <w:rsid w:val="2BF51E10"/>
    <w:rsid w:val="2E656499"/>
    <w:rsid w:val="2E6831F0"/>
    <w:rsid w:val="2EC854C2"/>
    <w:rsid w:val="2F665DAF"/>
    <w:rsid w:val="2F930437"/>
    <w:rsid w:val="2F977757"/>
    <w:rsid w:val="303C7B58"/>
    <w:rsid w:val="30F32FD0"/>
    <w:rsid w:val="31047B0D"/>
    <w:rsid w:val="315D56AC"/>
    <w:rsid w:val="316C10E2"/>
    <w:rsid w:val="3212104E"/>
    <w:rsid w:val="32431F5B"/>
    <w:rsid w:val="324769A4"/>
    <w:rsid w:val="329B10FB"/>
    <w:rsid w:val="33653327"/>
    <w:rsid w:val="33DF5B0E"/>
    <w:rsid w:val="34D7624C"/>
    <w:rsid w:val="34E0770A"/>
    <w:rsid w:val="36221A73"/>
    <w:rsid w:val="364667E4"/>
    <w:rsid w:val="3730039E"/>
    <w:rsid w:val="37D61142"/>
    <w:rsid w:val="38207C4C"/>
    <w:rsid w:val="38872120"/>
    <w:rsid w:val="39515A1F"/>
    <w:rsid w:val="396335C1"/>
    <w:rsid w:val="397E406E"/>
    <w:rsid w:val="39B23308"/>
    <w:rsid w:val="3AA67C13"/>
    <w:rsid w:val="3AA82D63"/>
    <w:rsid w:val="3BE2327C"/>
    <w:rsid w:val="3C71059E"/>
    <w:rsid w:val="3DDA217A"/>
    <w:rsid w:val="3E0F4602"/>
    <w:rsid w:val="3E4B638B"/>
    <w:rsid w:val="3F1B69E8"/>
    <w:rsid w:val="40267EFC"/>
    <w:rsid w:val="403C4349"/>
    <w:rsid w:val="41166565"/>
    <w:rsid w:val="41603F25"/>
    <w:rsid w:val="41656A2A"/>
    <w:rsid w:val="416A444E"/>
    <w:rsid w:val="419840A7"/>
    <w:rsid w:val="43944D26"/>
    <w:rsid w:val="456D3305"/>
    <w:rsid w:val="4651127A"/>
    <w:rsid w:val="46772E6A"/>
    <w:rsid w:val="46832C26"/>
    <w:rsid w:val="487B02FC"/>
    <w:rsid w:val="488056C8"/>
    <w:rsid w:val="4888523B"/>
    <w:rsid w:val="4890358A"/>
    <w:rsid w:val="491612AD"/>
    <w:rsid w:val="4ACF4982"/>
    <w:rsid w:val="4AF12C0C"/>
    <w:rsid w:val="4BB50945"/>
    <w:rsid w:val="4C02494F"/>
    <w:rsid w:val="4C742E6C"/>
    <w:rsid w:val="4C907141"/>
    <w:rsid w:val="4DD86A47"/>
    <w:rsid w:val="50B93106"/>
    <w:rsid w:val="520F2243"/>
    <w:rsid w:val="54243DB7"/>
    <w:rsid w:val="55E00736"/>
    <w:rsid w:val="56A66D08"/>
    <w:rsid w:val="581B1187"/>
    <w:rsid w:val="586019B0"/>
    <w:rsid w:val="58DD6857"/>
    <w:rsid w:val="5A000F03"/>
    <w:rsid w:val="5A860EE4"/>
    <w:rsid w:val="5B7C2C52"/>
    <w:rsid w:val="5C3935AC"/>
    <w:rsid w:val="5C836048"/>
    <w:rsid w:val="5CEB78C1"/>
    <w:rsid w:val="5D356C8B"/>
    <w:rsid w:val="5E3969AB"/>
    <w:rsid w:val="5E977DCC"/>
    <w:rsid w:val="5F8364EF"/>
    <w:rsid w:val="5F8C7FEA"/>
    <w:rsid w:val="5FDA42C2"/>
    <w:rsid w:val="605228C7"/>
    <w:rsid w:val="60687B57"/>
    <w:rsid w:val="61103F82"/>
    <w:rsid w:val="61B523A3"/>
    <w:rsid w:val="636B0D1D"/>
    <w:rsid w:val="64113379"/>
    <w:rsid w:val="65644DEF"/>
    <w:rsid w:val="658E3CCE"/>
    <w:rsid w:val="65E313A1"/>
    <w:rsid w:val="65F96EE9"/>
    <w:rsid w:val="664C6809"/>
    <w:rsid w:val="66585CBF"/>
    <w:rsid w:val="6661513A"/>
    <w:rsid w:val="667B3C9B"/>
    <w:rsid w:val="668B2BCF"/>
    <w:rsid w:val="672F6157"/>
    <w:rsid w:val="67E56C44"/>
    <w:rsid w:val="688B64A9"/>
    <w:rsid w:val="695F1AA6"/>
    <w:rsid w:val="697524A7"/>
    <w:rsid w:val="69E86980"/>
    <w:rsid w:val="6B4420E2"/>
    <w:rsid w:val="6B5E2C1C"/>
    <w:rsid w:val="6C3302D4"/>
    <w:rsid w:val="6CBA164D"/>
    <w:rsid w:val="6D825ACF"/>
    <w:rsid w:val="6DAE7930"/>
    <w:rsid w:val="6E8C6534"/>
    <w:rsid w:val="6EAF6B10"/>
    <w:rsid w:val="6FAE7421"/>
    <w:rsid w:val="70010A80"/>
    <w:rsid w:val="70266FE4"/>
    <w:rsid w:val="7038585D"/>
    <w:rsid w:val="705B3834"/>
    <w:rsid w:val="713122BD"/>
    <w:rsid w:val="71712243"/>
    <w:rsid w:val="71990A23"/>
    <w:rsid w:val="71E80092"/>
    <w:rsid w:val="722506C5"/>
    <w:rsid w:val="725B4D6E"/>
    <w:rsid w:val="72BC31FF"/>
    <w:rsid w:val="73EC457C"/>
    <w:rsid w:val="73F46A53"/>
    <w:rsid w:val="743B3442"/>
    <w:rsid w:val="758A7E0A"/>
    <w:rsid w:val="78573E46"/>
    <w:rsid w:val="78FC478A"/>
    <w:rsid w:val="7A3E3DA0"/>
    <w:rsid w:val="7A614864"/>
    <w:rsid w:val="7AD760F0"/>
    <w:rsid w:val="7CAB6CA3"/>
    <w:rsid w:val="7D1446E0"/>
    <w:rsid w:val="7DF121BA"/>
    <w:rsid w:val="7DF46573"/>
    <w:rsid w:val="7E324E17"/>
    <w:rsid w:val="7E4C36DB"/>
    <w:rsid w:val="7E8B607D"/>
    <w:rsid w:val="7EF17B4F"/>
    <w:rsid w:val="7F27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1 Char"/>
    <w:basedOn w:val="6"/>
    <w:link w:val="2"/>
    <w:qFormat/>
    <w:uiPriority w:val="0"/>
    <w:rPr>
      <w:rFonts w:ascii="Calibri" w:hAnsi="Calibri" w:eastAsia="宋体" w:cs="Times New Roman"/>
      <w:b/>
      <w:bCs/>
      <w:kern w:val="44"/>
      <w:sz w:val="44"/>
      <w:szCs w:val="44"/>
    </w:rPr>
  </w:style>
  <w:style w:type="paragraph" w:styleId="10">
    <w:name w:val="List Paragraph"/>
    <w:basedOn w:val="1"/>
    <w:qFormat/>
    <w:uiPriority w:val="0"/>
    <w:pPr>
      <w:ind w:firstLine="420" w:firstLineChars="200"/>
    </w:pPr>
    <w:rPr>
      <w:rFonts w:ascii="等线" w:hAnsi="等线" w:eastAsia="等线"/>
    </w:rPr>
  </w:style>
  <w:style w:type="paragraph" w:styleId="11">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690</Words>
  <Characters>3937</Characters>
  <Lines>32</Lines>
  <Paragraphs>9</Paragraphs>
  <TotalTime>4</TotalTime>
  <ScaleCrop>false</ScaleCrop>
  <LinksUpToDate>false</LinksUpToDate>
  <CharactersWithSpaces>4618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2020-03-03T02:49:00Z</dcterms:created>
  <dc:creator>admin</dc:creator>
  <cp:lastModifiedBy>琪</cp:lastModifiedBy>
  <cp:lastPrinted>2020-09-02T02:04:45Z</cp:lastPrinted>
  <dcterms:modified xsi:type="dcterms:W3CDTF">2020-09-02T02:04:57Z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