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8F7" w:rsidRPr="00DA7434" w:rsidRDefault="00137B36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天津市</w:t>
      </w:r>
      <w:r w:rsidR="00D13336">
        <w:rPr>
          <w:rFonts w:ascii="方正小标宋_GBK" w:eastAsia="方正小标宋_GBK" w:hAnsi="方正小标宋_GBK" w:hint="eastAsia"/>
          <w:b w:val="0"/>
          <w:bCs w:val="0"/>
          <w:sz w:val="30"/>
        </w:rPr>
        <w:t>宝坻</w:t>
      </w: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区新安镇人民政府</w:t>
      </w:r>
      <w:r w:rsidR="003128F7" w:rsidRPr="00DA7434">
        <w:rPr>
          <w:rFonts w:ascii="方正小标宋_GBK" w:eastAsia="方正小标宋_GBK" w:hAnsi="方正小标宋_GBK" w:hint="eastAsia"/>
          <w:b w:val="0"/>
          <w:bCs w:val="0"/>
          <w:sz w:val="30"/>
        </w:rPr>
        <w:t>财政预决算领域基层政务公开标准目录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20"/>
        <w:gridCol w:w="720"/>
        <w:gridCol w:w="3240"/>
        <w:gridCol w:w="1800"/>
        <w:gridCol w:w="1620"/>
        <w:gridCol w:w="1578"/>
        <w:gridCol w:w="1122"/>
        <w:gridCol w:w="720"/>
        <w:gridCol w:w="709"/>
        <w:gridCol w:w="551"/>
        <w:gridCol w:w="720"/>
        <w:gridCol w:w="720"/>
        <w:gridCol w:w="720"/>
      </w:tblGrid>
      <w:tr w:rsidR="003128F7" w:rsidRPr="005D1EA5" w:rsidTr="00717AF5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F523DB">
              <w:rPr>
                <w:rFonts w:ascii="黑体" w:eastAsia="黑体" w:hAnsi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128F7" w:rsidRPr="005D1EA5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717AF5" w:rsidRDefault="00137B36" w:rsidP="00137B36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3128F7" w:rsidRPr="000E6E67" w:rsidRDefault="00137B36" w:rsidP="00137B36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</w:t>
            </w:r>
            <w:r w:rsidR="00717AF5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人民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A1782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  <w:trHeight w:val="3130"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3128F7" w:rsidRPr="000E6E67" w:rsidRDefault="00717AF5" w:rsidP="00717AF5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A1782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717AF5">
        <w:trPr>
          <w:cantSplit/>
          <w:trHeight w:val="3754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550491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</w:t>
            </w:r>
            <w:r w:rsidR="0055049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报表中涉及本级支出的，应当公开到功能分类项级科目。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本级一般公共预算基本支出应当公开到经济性质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分类款级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137B36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含再融资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</w:tcPr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137B36" w:rsidRDefault="00717AF5" w:rsidP="00717AF5">
            <w:pPr>
              <w:jc w:val="center"/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137B36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137B36" w:rsidRPr="000E6E67" w:rsidRDefault="00137B36" w:rsidP="00672DC6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3A1782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37B36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:rsidR="00137B36" w:rsidRPr="000E6E67" w:rsidRDefault="00137B36" w:rsidP="00137B36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137B36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《财政部关于印发&lt;地方政府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本级人民代表大会或其常务委员会批准后20日内</w:t>
            </w:r>
          </w:p>
        </w:tc>
        <w:tc>
          <w:tcPr>
            <w:tcW w:w="1578" w:type="dxa"/>
            <w:vMerge w:val="restart"/>
          </w:tcPr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137B36" w:rsidRDefault="00137B36" w:rsidP="00137B36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137B36" w:rsidRDefault="00717AF5" w:rsidP="00717AF5">
            <w:pPr>
              <w:jc w:val="center"/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137B36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137B36" w:rsidRPr="000E6E67" w:rsidRDefault="00137B36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137B36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7B36" w:rsidRPr="000E6E67" w:rsidRDefault="003A1782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137B36"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  <w:trHeight w:val="2506"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3128F7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分类款级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1578" w:type="dxa"/>
            <w:vMerge w:val="restart"/>
            <w:vAlign w:val="center"/>
          </w:tcPr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3128F7" w:rsidRPr="000E6E67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A1782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  <w:r w:rsidR="003128F7"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1578" w:type="dxa"/>
            <w:vMerge w:val="restart"/>
            <w:vAlign w:val="center"/>
          </w:tcPr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3128F7" w:rsidRPr="000E6E67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A1782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表公开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到功能分类项级科目。一般公共预算基本支出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表公开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到经济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分类款级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1578" w:type="dxa"/>
            <w:vMerge w:val="restart"/>
            <w:vAlign w:val="center"/>
          </w:tcPr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3128F7" w:rsidRPr="000E6E67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A1782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表公开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到功能分类项级科目。一般公共预算基本支出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表公开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到经济</w:t>
            </w:r>
            <w:proofErr w:type="gramStart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分类款级</w:t>
            </w:r>
            <w:proofErr w:type="gramEnd"/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1578" w:type="dxa"/>
            <w:vMerge w:val="restart"/>
            <w:vAlign w:val="center"/>
          </w:tcPr>
          <w:p w:rsidR="00717AF5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天津市宝坻区</w:t>
            </w:r>
          </w:p>
          <w:p w:rsidR="003128F7" w:rsidRPr="000E6E67" w:rsidRDefault="00717AF5" w:rsidP="00717AF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1122" w:type="dxa"/>
            <w:vMerge w:val="restart"/>
            <w:vAlign w:val="center"/>
          </w:tcPr>
          <w:p w:rsidR="003128F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A1782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717AF5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6D1FD3">
            <w:pPr>
              <w:widowControl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6D1FD3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</w:tbl>
    <w:p w:rsidR="00B21ACC" w:rsidRDefault="00B21ACC" w:rsidP="003128F7"/>
    <w:sectPr w:rsidR="00B21ACC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88" w:rsidRDefault="00312688" w:rsidP="003128F7">
      <w:r>
        <w:separator/>
      </w:r>
    </w:p>
  </w:endnote>
  <w:endnote w:type="continuationSeparator" w:id="0">
    <w:p w:rsidR="00312688" w:rsidRDefault="00312688" w:rsidP="0031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88" w:rsidRDefault="00312688" w:rsidP="003128F7">
      <w:r>
        <w:separator/>
      </w:r>
    </w:p>
  </w:footnote>
  <w:footnote w:type="continuationSeparator" w:id="0">
    <w:p w:rsidR="00312688" w:rsidRDefault="00312688" w:rsidP="0031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28F7"/>
    <w:rsid w:val="000D448C"/>
    <w:rsid w:val="00137B36"/>
    <w:rsid w:val="00223A91"/>
    <w:rsid w:val="00251F00"/>
    <w:rsid w:val="002F492D"/>
    <w:rsid w:val="00312688"/>
    <w:rsid w:val="003128F7"/>
    <w:rsid w:val="00316E12"/>
    <w:rsid w:val="003A1782"/>
    <w:rsid w:val="00404DB5"/>
    <w:rsid w:val="00430C35"/>
    <w:rsid w:val="004D4928"/>
    <w:rsid w:val="00514F21"/>
    <w:rsid w:val="00550491"/>
    <w:rsid w:val="00561137"/>
    <w:rsid w:val="005973C0"/>
    <w:rsid w:val="00672DC6"/>
    <w:rsid w:val="00717AF5"/>
    <w:rsid w:val="007F18FD"/>
    <w:rsid w:val="008858CC"/>
    <w:rsid w:val="00A43237"/>
    <w:rsid w:val="00A93508"/>
    <w:rsid w:val="00B15A7E"/>
    <w:rsid w:val="00B21ACC"/>
    <w:rsid w:val="00C744C3"/>
    <w:rsid w:val="00D13336"/>
    <w:rsid w:val="00ED6E62"/>
    <w:rsid w:val="00F5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2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28F7"/>
    <w:rPr>
      <w:sz w:val="18"/>
      <w:szCs w:val="18"/>
    </w:rPr>
  </w:style>
  <w:style w:type="character" w:customStyle="1" w:styleId="1Char">
    <w:name w:val="标题 1 Char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F1C6B-A07D-4299-91DB-8301B0D6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524</Words>
  <Characters>2988</Characters>
  <Application>Microsoft Office Word</Application>
  <DocSecurity>0</DocSecurity>
  <Lines>24</Lines>
  <Paragraphs>7</Paragraphs>
  <ScaleCrop>false</ScaleCrop>
  <Company>Microsoft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sj</cp:lastModifiedBy>
  <cp:revision>15</cp:revision>
  <dcterms:created xsi:type="dcterms:W3CDTF">2020-05-20T01:46:00Z</dcterms:created>
  <dcterms:modified xsi:type="dcterms:W3CDTF">2020-09-03T07:53:00Z</dcterms:modified>
</cp:coreProperties>
</file>