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lang w:eastAsia="zh-CN"/>
        </w:rPr>
        <w:t>天津市宝坻区新安镇人民政府</w:t>
      </w:r>
      <w:bookmarkStart w:id="0" w:name="_GoBack"/>
      <w:bookmarkEnd w:id="0"/>
      <w:r>
        <w:rPr>
          <w:rFonts w:hint="eastAsia" w:ascii="方正小标宋_GBK" w:hAnsi="方正小标宋_GBK" w:eastAsia="方正小标宋_GBK"/>
          <w:b w:val="0"/>
          <w:bCs w:val="0"/>
          <w:sz w:val="30"/>
        </w:rPr>
        <w:t>城乡规划领域基层政务公开标准目录</w:t>
      </w:r>
    </w:p>
    <w:tbl>
      <w:tblPr>
        <w:tblStyle w:val="3"/>
        <w:tblW w:w="149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08"/>
        <w:gridCol w:w="851"/>
        <w:gridCol w:w="1701"/>
        <w:gridCol w:w="1984"/>
        <w:gridCol w:w="1701"/>
        <w:gridCol w:w="1701"/>
        <w:gridCol w:w="1738"/>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 w:type="dxa"/>
            <w:vMerge w:val="restart"/>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559"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984"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738" w:type="dxa"/>
            <w:vMerge w:val="restart"/>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 w:type="dxa"/>
            <w:vMerge w:val="continue"/>
            <w:vAlign w:val="center"/>
          </w:tcPr>
          <w:p>
            <w:pPr>
              <w:widowControl/>
              <w:jc w:val="left"/>
              <w:rPr>
                <w:rFonts w:ascii="Times New Roman" w:hAnsi="Times New Roman"/>
                <w:color w:val="000000"/>
                <w:kern w:val="0"/>
                <w:sz w:val="22"/>
              </w:rPr>
            </w:pPr>
          </w:p>
        </w:tc>
        <w:tc>
          <w:tcPr>
            <w:tcW w:w="708"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851"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701" w:type="dxa"/>
            <w:vMerge w:val="continue"/>
            <w:vAlign w:val="center"/>
          </w:tcPr>
          <w:p>
            <w:pPr>
              <w:widowControl/>
              <w:jc w:val="left"/>
              <w:rPr>
                <w:rFonts w:ascii="黑体" w:hAnsi="宋体" w:eastAsia="黑体" w:cs="宋体"/>
                <w:color w:val="000000"/>
                <w:kern w:val="0"/>
                <w:sz w:val="22"/>
              </w:rPr>
            </w:pPr>
          </w:p>
        </w:tc>
        <w:tc>
          <w:tcPr>
            <w:tcW w:w="1984" w:type="dxa"/>
            <w:vMerge w:val="continue"/>
            <w:vAlign w:val="center"/>
          </w:tcPr>
          <w:p>
            <w:pPr>
              <w:widowControl/>
              <w:jc w:val="left"/>
              <w:rPr>
                <w:rFonts w:ascii="黑体" w:hAnsi="宋体" w:eastAsia="黑体" w:cs="宋体"/>
                <w:color w:val="000000"/>
                <w:kern w:val="0"/>
                <w:sz w:val="22"/>
              </w:rPr>
            </w:pPr>
          </w:p>
        </w:tc>
        <w:tc>
          <w:tcPr>
            <w:tcW w:w="1701" w:type="dxa"/>
            <w:vMerge w:val="continue"/>
            <w:vAlign w:val="center"/>
          </w:tcPr>
          <w:p>
            <w:pPr>
              <w:widowControl/>
              <w:jc w:val="left"/>
              <w:rPr>
                <w:rFonts w:ascii="黑体" w:hAnsi="宋体" w:eastAsia="黑体" w:cs="宋体"/>
                <w:color w:val="000000"/>
                <w:kern w:val="0"/>
                <w:sz w:val="22"/>
              </w:rPr>
            </w:pPr>
          </w:p>
        </w:tc>
        <w:tc>
          <w:tcPr>
            <w:tcW w:w="1701" w:type="dxa"/>
            <w:vMerge w:val="continue"/>
            <w:vAlign w:val="center"/>
          </w:tcPr>
          <w:p>
            <w:pPr>
              <w:widowControl/>
              <w:jc w:val="left"/>
              <w:rPr>
                <w:rFonts w:ascii="黑体" w:hAnsi="宋体" w:eastAsia="黑体" w:cs="宋体"/>
                <w:color w:val="000000"/>
                <w:kern w:val="0"/>
                <w:sz w:val="22"/>
              </w:rPr>
            </w:pPr>
          </w:p>
        </w:tc>
        <w:tc>
          <w:tcPr>
            <w:tcW w:w="1738" w:type="dxa"/>
            <w:vMerge w:val="continue"/>
            <w:vAlign w:val="center"/>
          </w:tcPr>
          <w:p>
            <w:pPr>
              <w:widowControl/>
              <w:jc w:val="left"/>
              <w:rPr>
                <w:rFonts w:ascii="黑体" w:hAnsi="宋体" w:eastAsia="黑体" w:cs="宋体"/>
                <w:kern w:val="0"/>
                <w:sz w:val="22"/>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54" w:hRule="atLeast"/>
        </w:trPr>
        <w:tc>
          <w:tcPr>
            <w:tcW w:w="426"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1</w:t>
            </w:r>
          </w:p>
        </w:tc>
        <w:tc>
          <w:tcPr>
            <w:tcW w:w="708" w:type="dxa"/>
            <w:vMerge w:val="restart"/>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公共</w:t>
            </w:r>
          </w:p>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服务</w:t>
            </w: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法规文件</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城乡规划领域相关法律、法规、规章、规范性文件</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■纸质载体</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■公开查阅点</w:t>
            </w:r>
          </w:p>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2" w:hRule="atLeast"/>
        </w:trPr>
        <w:tc>
          <w:tcPr>
            <w:tcW w:w="426" w:type="dxa"/>
            <w:vAlign w:val="center"/>
          </w:tcPr>
          <w:p>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2</w:t>
            </w:r>
          </w:p>
        </w:tc>
        <w:tc>
          <w:tcPr>
            <w:tcW w:w="708" w:type="dxa"/>
            <w:vMerge w:val="continue"/>
            <w:vAlign w:val="center"/>
          </w:tcPr>
          <w:p>
            <w:pPr>
              <w:jc w:val="left"/>
              <w:rPr>
                <w:rFonts w:ascii="仿宋_GB2312" w:hAnsi="宋体" w:eastAsia="仿宋_GB2312"/>
                <w:color w:val="000000"/>
                <w:sz w:val="18"/>
                <w:szCs w:val="18"/>
              </w:rPr>
            </w:pPr>
          </w:p>
        </w:tc>
        <w:tc>
          <w:tcPr>
            <w:tcW w:w="8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政民互动</w:t>
            </w:r>
          </w:p>
        </w:tc>
        <w:tc>
          <w:tcPr>
            <w:tcW w:w="1701" w:type="dxa"/>
            <w:vAlign w:val="center"/>
          </w:tcPr>
          <w:p>
            <w:pPr>
              <w:widowControl/>
              <w:jc w:val="left"/>
              <w:rPr>
                <w:rFonts w:ascii="仿宋_GB2312" w:hAnsi="宋体" w:eastAsia="仿宋_GB2312"/>
                <w:color w:val="000000"/>
                <w:sz w:val="18"/>
                <w:szCs w:val="18"/>
              </w:rPr>
            </w:pPr>
            <w:r>
              <w:rPr>
                <w:rFonts w:ascii="仿宋_GB2312" w:hAnsi="宋体" w:eastAsia="仿宋_GB2312"/>
                <w:color w:val="000000"/>
                <w:sz w:val="18"/>
                <w:szCs w:val="18"/>
              </w:rPr>
              <w:t>城乡规划事项的意见征集、咨询、信访等</w:t>
            </w:r>
          </w:p>
        </w:tc>
        <w:tc>
          <w:tcPr>
            <w:tcW w:w="1984"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《政府信息公开条例》</w:t>
            </w:r>
          </w:p>
        </w:tc>
        <w:tc>
          <w:tcPr>
            <w:tcW w:w="170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实时公开</w:t>
            </w:r>
          </w:p>
        </w:tc>
        <w:tc>
          <w:tcPr>
            <w:tcW w:w="1701" w:type="dxa"/>
            <w:vAlign w:val="center"/>
          </w:tcPr>
          <w:p>
            <w:pPr>
              <w:widowControl/>
              <w:jc w:val="center"/>
              <w:rPr>
                <w:rFonts w:hint="eastAsia"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天津市宝坻区</w:t>
            </w:r>
          </w:p>
          <w:p>
            <w:pPr>
              <w:widowControl/>
              <w:jc w:val="center"/>
              <w:rPr>
                <w:rFonts w:hint="eastAsia"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新安镇人民政府</w:t>
            </w:r>
          </w:p>
        </w:tc>
        <w:tc>
          <w:tcPr>
            <w:tcW w:w="1738"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 xml:space="preserve">■政府网站 </w:t>
            </w:r>
            <w:r>
              <w:rPr>
                <w:rFonts w:hint="eastAsia" w:ascii="仿宋_GB2312" w:hAnsi="宋体" w:eastAsia="仿宋_GB2312"/>
                <w:color w:val="000000"/>
                <w:sz w:val="18"/>
                <w:szCs w:val="18"/>
              </w:rPr>
              <w:t xml:space="preserve"> </w:t>
            </w:r>
            <w:r>
              <w:rPr>
                <w:rFonts w:ascii="仿宋_GB2312" w:hAnsi="宋体" w:eastAsia="仿宋_GB2312"/>
                <w:color w:val="000000"/>
                <w:sz w:val="18"/>
                <w:szCs w:val="18"/>
              </w:rPr>
              <w:t xml:space="preserve">■两微一端 </w:t>
            </w:r>
          </w:p>
          <w:p>
            <w:pPr>
              <w:widowControl/>
              <w:jc w:val="left"/>
              <w:rPr>
                <w:rFonts w:ascii="仿宋_GB2312" w:hAnsi="宋体" w:eastAsia="仿宋_GB2312"/>
                <w:color w:val="000000"/>
                <w:sz w:val="18"/>
                <w:szCs w:val="18"/>
              </w:rPr>
            </w:pPr>
            <w:r>
              <w:rPr>
                <w:rFonts w:ascii="仿宋_GB2312" w:hAnsi="宋体" w:eastAsia="仿宋_GB2312"/>
                <w:color w:val="000000"/>
                <w:sz w:val="18"/>
                <w:szCs w:val="18"/>
              </w:rPr>
              <w:t xml:space="preserve">■广播电视 </w:t>
            </w:r>
          </w:p>
          <w:p>
            <w:pPr>
              <w:widowControl/>
              <w:rPr>
                <w:rFonts w:ascii="仿宋_GB2312" w:hAnsi="宋体" w:eastAsia="仿宋_GB2312"/>
                <w:color w:val="000000"/>
                <w:sz w:val="18"/>
                <w:szCs w:val="18"/>
              </w:rPr>
            </w:pPr>
            <w:r>
              <w:rPr>
                <w:rFonts w:ascii="仿宋_GB2312" w:hAnsi="宋体" w:eastAsia="仿宋_GB2312"/>
                <w:color w:val="000000"/>
                <w:sz w:val="18"/>
                <w:szCs w:val="18"/>
              </w:rPr>
              <w:t xml:space="preserve">■公开查阅点■政府服务中心  </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vAlign w:val="center"/>
          </w:tcPr>
          <w:p>
            <w:pPr>
              <w:widowControl/>
              <w:jc w:val="center"/>
              <w:rPr>
                <w:rFonts w:ascii="仿宋_GB2312" w:hAnsi="宋体" w:eastAsia="仿宋_GB2312"/>
                <w:color w:val="000000"/>
                <w:sz w:val="18"/>
                <w:szCs w:val="18"/>
              </w:rPr>
            </w:pPr>
          </w:p>
        </w:tc>
        <w:tc>
          <w:tcPr>
            <w:tcW w:w="5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c>
          <w:tcPr>
            <w:tcW w:w="720" w:type="dxa"/>
            <w:vAlign w:val="center"/>
          </w:tcPr>
          <w:p>
            <w:pPr>
              <w:widowControl/>
              <w:jc w:val="center"/>
              <w:rPr>
                <w:rFonts w:ascii="仿宋_GB2312" w:hAnsi="宋体" w:eastAsia="仿宋_GB2312"/>
                <w:color w:val="000000"/>
                <w:sz w:val="18"/>
                <w:szCs w:val="18"/>
              </w:rPr>
            </w:pP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8"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3</w:t>
            </w:r>
          </w:p>
        </w:tc>
        <w:tc>
          <w:tcPr>
            <w:tcW w:w="708" w:type="dxa"/>
            <w:vMerge w:val="continue"/>
            <w:vAlign w:val="center"/>
          </w:tcPr>
          <w:p>
            <w:pPr>
              <w:widowControl/>
              <w:jc w:val="left"/>
              <w:rPr>
                <w:rFonts w:ascii="仿宋_GB2312" w:hAnsi="宋体" w:eastAsia="仿宋_GB2312"/>
                <w:color w:val="FF0000"/>
                <w:sz w:val="18"/>
                <w:szCs w:val="18"/>
              </w:rPr>
            </w:pP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办事服务</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行政许可的事项、依据、条件、数量、程序、期限以及申请行政许可需要提交的全部材料目录</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《政府信息公开条例》</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实时公开</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■公开查阅点■政府服务中心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8"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4</w:t>
            </w:r>
          </w:p>
        </w:tc>
        <w:tc>
          <w:tcPr>
            <w:tcW w:w="708" w:type="dxa"/>
            <w:vMerge w:val="restart"/>
            <w:vAlign w:val="center"/>
          </w:tcPr>
          <w:p>
            <w:pPr>
              <w:jc w:val="left"/>
              <w:rPr>
                <w:rFonts w:ascii="仿宋_GB2312" w:hAnsi="宋体" w:eastAsia="仿宋_GB2312"/>
                <w:color w:val="FF0000"/>
                <w:sz w:val="18"/>
                <w:szCs w:val="18"/>
              </w:rPr>
            </w:pPr>
            <w:r>
              <w:rPr>
                <w:rFonts w:ascii="仿宋_GB2312" w:hAnsi="宋体" w:eastAsia="仿宋_GB2312"/>
                <w:color w:val="FF0000"/>
                <w:sz w:val="18"/>
                <w:szCs w:val="18"/>
              </w:rPr>
              <w:t>规划编制</w:t>
            </w:r>
          </w:p>
        </w:tc>
        <w:tc>
          <w:tcPr>
            <w:tcW w:w="851" w:type="dxa"/>
            <w:vAlign w:val="center"/>
          </w:tcPr>
          <w:p>
            <w:pPr>
              <w:widowControl/>
              <w:rPr>
                <w:rFonts w:ascii="仿宋_GB2312" w:hAnsi="宋体" w:eastAsia="仿宋_GB2312"/>
                <w:color w:val="FF0000"/>
                <w:sz w:val="18"/>
                <w:szCs w:val="18"/>
              </w:rPr>
            </w:pPr>
            <w:r>
              <w:rPr>
                <w:rFonts w:hint="eastAsia" w:ascii="仿宋_GB2312" w:hAnsi="宋体" w:eastAsia="仿宋_GB2312"/>
                <w:color w:val="FF0000"/>
                <w:sz w:val="18"/>
                <w:szCs w:val="18"/>
              </w:rPr>
              <w:t>城市、镇总体规划及同级的土地利用规划</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规划批准文件、脱密后的文本</w:t>
            </w:r>
            <w:r>
              <w:rPr>
                <w:rFonts w:hint="eastAsia" w:ascii="仿宋_GB2312" w:hAnsi="宋体" w:eastAsia="仿宋_GB2312"/>
                <w:color w:val="FF0000"/>
                <w:sz w:val="18"/>
                <w:szCs w:val="18"/>
              </w:rPr>
              <w:t>及</w:t>
            </w:r>
            <w:r>
              <w:rPr>
                <w:rFonts w:ascii="仿宋_GB2312" w:hAnsi="宋体" w:eastAsia="仿宋_GB2312"/>
                <w:color w:val="FF0000"/>
                <w:sz w:val="18"/>
                <w:szCs w:val="18"/>
              </w:rPr>
              <w:t>图</w:t>
            </w:r>
            <w:r>
              <w:rPr>
                <w:rFonts w:hint="eastAsia" w:ascii="仿宋_GB2312" w:hAnsi="宋体" w:eastAsia="仿宋_GB2312"/>
                <w:color w:val="FF0000"/>
                <w:sz w:val="18"/>
                <w:szCs w:val="18"/>
              </w:rPr>
              <w:t>纸</w:t>
            </w:r>
            <w:r>
              <w:rPr>
                <w:rFonts w:ascii="仿宋_GB2312" w:hAnsi="宋体" w:eastAsia="仿宋_GB2312"/>
                <w:color w:val="FF0000"/>
                <w:sz w:val="18"/>
                <w:szCs w:val="18"/>
              </w:rPr>
              <w:t>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《土地管理法》</w:t>
            </w:r>
            <w:r>
              <w:rPr>
                <w:rFonts w:hint="eastAsia" w:ascii="仿宋_GB2312" w:hAnsi="宋体" w:eastAsia="仿宋_GB2312"/>
                <w:color w:val="FF0000"/>
                <w:sz w:val="18"/>
                <w:szCs w:val="18"/>
              </w:rPr>
              <w:t>、</w:t>
            </w: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■两微一端</w:t>
            </w:r>
          </w:p>
          <w:p>
            <w:pPr>
              <w:widowControl/>
              <w:jc w:val="left"/>
              <w:rPr>
                <w:rFonts w:ascii="仿宋_GB2312" w:hAnsi="宋体" w:eastAsia="仿宋_GB2312"/>
                <w:color w:val="FF0000"/>
                <w:sz w:val="18"/>
                <w:szCs w:val="18"/>
              </w:rPr>
            </w:pPr>
            <w:r>
              <w:rPr>
                <w:rFonts w:ascii="仿宋_GB2312" w:hAnsi="宋体" w:eastAsia="仿宋_GB2312"/>
                <w:color w:val="FF0000"/>
                <w:sz w:val="18"/>
                <w:szCs w:val="18"/>
              </w:rPr>
              <w:t>■公开查阅点</w:t>
            </w:r>
            <w:r>
              <w:rPr>
                <w:rFonts w:hint="eastAsia" w:ascii="仿宋_GB2312" w:hAnsi="宋体" w:eastAsia="仿宋_GB2312"/>
                <w:color w:val="FF0000"/>
                <w:sz w:val="18"/>
                <w:szCs w:val="18"/>
              </w:rPr>
              <w:br w:type="textWrapping"/>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5</w:t>
            </w:r>
          </w:p>
        </w:tc>
        <w:tc>
          <w:tcPr>
            <w:tcW w:w="708" w:type="dxa"/>
            <w:vMerge w:val="continue"/>
            <w:vAlign w:val="center"/>
          </w:tcPr>
          <w:p>
            <w:pPr>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hint="eastAsia" w:ascii="仿宋_GB2312" w:hAnsi="宋体" w:eastAsia="仿宋_GB2312"/>
                <w:color w:val="FF0000"/>
                <w:sz w:val="18"/>
                <w:szCs w:val="18"/>
              </w:rPr>
              <w:t>乡规划及同级的土地利用规划</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脱密后的文本</w:t>
            </w:r>
            <w:r>
              <w:rPr>
                <w:rFonts w:hint="eastAsia" w:ascii="仿宋_GB2312" w:hAnsi="宋体" w:eastAsia="仿宋_GB2312"/>
                <w:color w:val="FF0000"/>
                <w:sz w:val="18"/>
                <w:szCs w:val="18"/>
              </w:rPr>
              <w:t>及图纸</w:t>
            </w:r>
            <w:r>
              <w:rPr>
                <w:rFonts w:ascii="仿宋_GB2312" w:hAnsi="宋体" w:eastAsia="仿宋_GB2312"/>
                <w:color w:val="FF0000"/>
                <w:sz w:val="18"/>
                <w:szCs w:val="18"/>
              </w:rPr>
              <w:t>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《土地管理法》</w:t>
            </w:r>
            <w:r>
              <w:rPr>
                <w:rFonts w:hint="eastAsia" w:ascii="仿宋_GB2312" w:hAnsi="宋体" w:eastAsia="仿宋_GB2312"/>
                <w:color w:val="FF0000"/>
                <w:sz w:val="18"/>
                <w:szCs w:val="18"/>
              </w:rPr>
              <w:t>、</w:t>
            </w: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■两微一端</w:t>
            </w:r>
          </w:p>
          <w:p>
            <w:pPr>
              <w:widowControl/>
              <w:rPr>
                <w:rFonts w:ascii="仿宋_GB2312" w:hAnsi="宋体" w:eastAsia="仿宋_GB2312"/>
                <w:color w:val="FF0000"/>
                <w:sz w:val="18"/>
                <w:szCs w:val="18"/>
              </w:rPr>
            </w:pPr>
            <w:r>
              <w:rPr>
                <w:rFonts w:ascii="仿宋_GB2312" w:hAnsi="宋体" w:eastAsia="仿宋_GB2312"/>
                <w:color w:val="FF0000"/>
                <w:sz w:val="18"/>
                <w:szCs w:val="18"/>
              </w:rPr>
              <w:t>■公开查阅点</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0"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6</w:t>
            </w:r>
          </w:p>
        </w:tc>
        <w:tc>
          <w:tcPr>
            <w:tcW w:w="708" w:type="dxa"/>
            <w:vMerge w:val="continue"/>
            <w:vAlign w:val="center"/>
          </w:tcPr>
          <w:p>
            <w:pPr>
              <w:widowControl/>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hint="eastAsia" w:ascii="仿宋_GB2312" w:hAnsi="宋体" w:eastAsia="仿宋_GB2312"/>
                <w:color w:val="FF0000"/>
                <w:sz w:val="18"/>
                <w:szCs w:val="18"/>
              </w:rPr>
              <w:t>城市、镇详细规划</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脱密后的文本及</w:t>
            </w:r>
            <w:r>
              <w:rPr>
                <w:rFonts w:hint="eastAsia" w:ascii="仿宋_GB2312" w:hAnsi="宋体" w:eastAsia="仿宋_GB2312"/>
                <w:color w:val="FF0000"/>
                <w:sz w:val="18"/>
                <w:szCs w:val="18"/>
              </w:rPr>
              <w:t>图表</w:t>
            </w:r>
            <w:r>
              <w:rPr>
                <w:rFonts w:ascii="仿宋_GB2312" w:hAnsi="宋体" w:eastAsia="仿宋_GB2312"/>
                <w:color w:val="FF0000"/>
                <w:sz w:val="18"/>
                <w:szCs w:val="18"/>
              </w:rPr>
              <w:t>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■公开查阅点</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5"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7</w:t>
            </w:r>
          </w:p>
        </w:tc>
        <w:tc>
          <w:tcPr>
            <w:tcW w:w="708"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规划编制</w:t>
            </w:r>
          </w:p>
        </w:tc>
        <w:tc>
          <w:tcPr>
            <w:tcW w:w="851" w:type="dxa"/>
            <w:vAlign w:val="center"/>
          </w:tcPr>
          <w:p>
            <w:pPr>
              <w:widowControl/>
              <w:rPr>
                <w:rFonts w:ascii="仿宋_GB2312" w:hAnsi="宋体" w:eastAsia="仿宋_GB2312"/>
                <w:color w:val="FF0000"/>
                <w:sz w:val="18"/>
                <w:szCs w:val="18"/>
              </w:rPr>
            </w:pPr>
            <w:r>
              <w:rPr>
                <w:rFonts w:hint="eastAsia" w:ascii="仿宋_GB2312" w:hAnsi="宋体" w:eastAsia="仿宋_GB2312"/>
                <w:color w:val="FF0000"/>
                <w:sz w:val="18"/>
                <w:szCs w:val="18"/>
              </w:rPr>
              <w:t>部分村庄编制完成的</w:t>
            </w:r>
            <w:r>
              <w:rPr>
                <w:rFonts w:ascii="仿宋_GB2312" w:hAnsi="宋体" w:eastAsia="仿宋_GB2312"/>
                <w:color w:val="FF0000"/>
                <w:sz w:val="18"/>
                <w:szCs w:val="18"/>
              </w:rPr>
              <w:t>村庄规划</w:t>
            </w:r>
            <w:r>
              <w:rPr>
                <w:rFonts w:hint="eastAsia" w:ascii="仿宋_GB2312" w:hAnsi="宋体" w:eastAsia="仿宋_GB2312"/>
                <w:color w:val="FF0000"/>
                <w:sz w:val="18"/>
                <w:szCs w:val="18"/>
              </w:rPr>
              <w:t>、村土地利用规划</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脱密后的文本及附图等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《土地管理法》</w:t>
            </w:r>
            <w:r>
              <w:rPr>
                <w:rFonts w:hint="eastAsia" w:ascii="仿宋_GB2312" w:hAnsi="宋体" w:eastAsia="仿宋_GB2312"/>
                <w:color w:val="FF0000"/>
                <w:sz w:val="18"/>
                <w:szCs w:val="18"/>
              </w:rPr>
              <w:t>、</w:t>
            </w: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r>
              <w:rPr>
                <w:rFonts w:hint="eastAsia" w:ascii="仿宋_GB2312" w:hAnsi="宋体" w:eastAsia="仿宋_GB2312"/>
                <w:color w:val="FF0000"/>
                <w:sz w:val="18"/>
                <w:szCs w:val="18"/>
              </w:rPr>
              <w:t>、《国土资源部关于有序开展村土地利用规划编制工作的指导意见》</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■两微一端</w:t>
            </w:r>
          </w:p>
          <w:p>
            <w:pPr>
              <w:widowControl/>
              <w:rPr>
                <w:rFonts w:ascii="仿宋_GB2312" w:hAnsi="宋体" w:eastAsia="仿宋_GB2312"/>
                <w:color w:val="FF0000"/>
                <w:sz w:val="18"/>
                <w:szCs w:val="18"/>
              </w:rPr>
            </w:pPr>
            <w:r>
              <w:rPr>
                <w:rFonts w:ascii="仿宋_GB2312" w:hAnsi="宋体" w:eastAsia="仿宋_GB2312"/>
                <w:color w:val="FF0000"/>
                <w:sz w:val="18"/>
                <w:szCs w:val="18"/>
              </w:rPr>
              <w:t>■公开查阅点</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0"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8</w:t>
            </w:r>
          </w:p>
        </w:tc>
        <w:tc>
          <w:tcPr>
            <w:tcW w:w="708" w:type="dxa"/>
            <w:vMerge w:val="restart"/>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规划许可</w:t>
            </w: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建设项目选址意见书</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r>
              <w:rPr>
                <w:rFonts w:hint="eastAsia" w:ascii="仿宋_GB2312" w:hAnsi="宋体" w:eastAsia="仿宋_GB2312"/>
                <w:color w:val="FF0000"/>
                <w:sz w:val="18"/>
                <w:szCs w:val="18"/>
              </w:rPr>
              <w:t>（涉密项目除外）</w:t>
            </w:r>
          </w:p>
        </w:tc>
        <w:tc>
          <w:tcPr>
            <w:tcW w:w="1984" w:type="dxa"/>
            <w:vAlign w:val="center"/>
          </w:tcPr>
          <w:p>
            <w:pPr>
              <w:widowControl/>
              <w:spacing w:line="260" w:lineRule="exact"/>
              <w:jc w:val="left"/>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■政府服务中心</w:t>
            </w:r>
          </w:p>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9</w:t>
            </w:r>
          </w:p>
        </w:tc>
        <w:tc>
          <w:tcPr>
            <w:tcW w:w="708" w:type="dxa"/>
            <w:vMerge w:val="continue"/>
            <w:vAlign w:val="center"/>
          </w:tcPr>
          <w:p>
            <w:pPr>
              <w:widowControl/>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建设用地规划许可证</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r>
              <w:rPr>
                <w:rFonts w:hint="eastAsia" w:ascii="仿宋_GB2312" w:hAnsi="宋体" w:eastAsia="仿宋_GB2312"/>
                <w:color w:val="FF0000"/>
                <w:sz w:val="18"/>
                <w:szCs w:val="18"/>
              </w:rPr>
              <w:t>（涉密项目除外）</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■两微一端</w:t>
            </w:r>
            <w:r>
              <w:rPr>
                <w:rFonts w:hint="eastAsia" w:ascii="仿宋_GB2312" w:hAnsi="宋体" w:eastAsia="仿宋_GB2312"/>
                <w:color w:val="FF0000"/>
                <w:sz w:val="18"/>
                <w:szCs w:val="18"/>
              </w:rPr>
              <w:t xml:space="preserve">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10</w:t>
            </w:r>
          </w:p>
        </w:tc>
        <w:tc>
          <w:tcPr>
            <w:tcW w:w="708" w:type="dxa"/>
            <w:vMerge w:val="continue"/>
            <w:vAlign w:val="center"/>
          </w:tcPr>
          <w:p>
            <w:pPr>
              <w:widowControl/>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建设工程规划许可证</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r>
              <w:rPr>
                <w:rFonts w:hint="eastAsia" w:ascii="仿宋_GB2312" w:hAnsi="宋体" w:eastAsia="仿宋_GB2312"/>
                <w:color w:val="FF0000"/>
                <w:sz w:val="18"/>
                <w:szCs w:val="18"/>
              </w:rPr>
              <w:t>（涉密项目除外）</w:t>
            </w:r>
          </w:p>
        </w:tc>
        <w:tc>
          <w:tcPr>
            <w:tcW w:w="1984" w:type="dxa"/>
            <w:vAlign w:val="center"/>
          </w:tcPr>
          <w:p>
            <w:pPr>
              <w:widowControl/>
              <w:spacing w:line="240" w:lineRule="exact"/>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11</w:t>
            </w:r>
          </w:p>
        </w:tc>
        <w:tc>
          <w:tcPr>
            <w:tcW w:w="708"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规划许可</w:t>
            </w:r>
          </w:p>
        </w:tc>
        <w:tc>
          <w:tcPr>
            <w:tcW w:w="85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乡村建设规划许可证</w:t>
            </w:r>
          </w:p>
        </w:tc>
        <w:tc>
          <w:tcPr>
            <w:tcW w:w="1701" w:type="dxa"/>
            <w:vAlign w:val="center"/>
          </w:tcPr>
          <w:p>
            <w:pPr>
              <w:widowControl/>
              <w:spacing w:line="260" w:lineRule="exact"/>
              <w:jc w:val="left"/>
              <w:rPr>
                <w:rFonts w:ascii="仿宋_GB2312" w:hAnsi="宋体" w:eastAsia="仿宋_GB2312"/>
                <w:color w:val="FF0000"/>
                <w:sz w:val="18"/>
                <w:szCs w:val="18"/>
              </w:rPr>
            </w:pPr>
            <w:r>
              <w:rPr>
                <w:rFonts w:ascii="仿宋_GB2312" w:hAnsi="宋体" w:eastAsia="仿宋_GB2312"/>
                <w:color w:val="FF0000"/>
                <w:sz w:val="18"/>
                <w:szCs w:val="18"/>
              </w:rPr>
              <w:t>新办、变更、延续、补证、注销的办理情况</w:t>
            </w:r>
          </w:p>
        </w:tc>
        <w:tc>
          <w:tcPr>
            <w:tcW w:w="1984" w:type="dxa"/>
            <w:vAlign w:val="center"/>
          </w:tcPr>
          <w:p>
            <w:pPr>
              <w:widowControl/>
              <w:spacing w:line="260" w:lineRule="exact"/>
              <w:jc w:val="left"/>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■政府服务中心</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12</w:t>
            </w:r>
          </w:p>
        </w:tc>
        <w:tc>
          <w:tcPr>
            <w:tcW w:w="708" w:type="dxa"/>
            <w:vAlign w:val="center"/>
          </w:tcPr>
          <w:p>
            <w:pPr>
              <w:jc w:val="center"/>
              <w:rPr>
                <w:rFonts w:ascii="仿宋_GB2312" w:hAnsi="宋体" w:eastAsia="仿宋_GB2312"/>
                <w:color w:val="FF0000"/>
                <w:sz w:val="18"/>
                <w:szCs w:val="18"/>
              </w:rPr>
            </w:pPr>
            <w:r>
              <w:rPr>
                <w:rFonts w:ascii="仿宋_GB2312" w:hAnsi="宋体" w:eastAsia="仿宋_GB2312"/>
                <w:color w:val="FF0000"/>
                <w:sz w:val="18"/>
                <w:szCs w:val="18"/>
              </w:rPr>
              <w:t>行政处罚</w:t>
            </w: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行政处罚基本信息</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执法主体、执法人员姓名及证件编号、职责、权限、查处依据、工作程序、救济渠道和随机抽查事项清单等信息</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r>
              <w:rPr>
                <w:rFonts w:hint="eastAsia" w:ascii="仿宋_GB2312" w:hAnsi="宋体" w:eastAsia="仿宋_GB2312"/>
                <w:color w:val="FF0000"/>
                <w:sz w:val="18"/>
                <w:szCs w:val="18"/>
              </w:rPr>
              <w:t>、</w:t>
            </w:r>
            <w:r>
              <w:rPr>
                <w:rFonts w:ascii="仿宋_GB2312" w:hAnsi="宋体" w:eastAsia="仿宋_GB2312"/>
                <w:color w:val="FF0000"/>
                <w:sz w:val="18"/>
                <w:szCs w:val="18"/>
              </w:rPr>
              <w:t>《关于全面推行行政执法公示制度执法全过程记录制度重大执法决定法制审核制度的指导意见》</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■政府服务中心</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13</w:t>
            </w:r>
          </w:p>
        </w:tc>
        <w:tc>
          <w:tcPr>
            <w:tcW w:w="708"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行政处罚</w:t>
            </w: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事后公开</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作出的行政处罚决定信息（法律、行政法规另有规定的除外）</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r>
              <w:rPr>
                <w:rFonts w:hint="eastAsia" w:ascii="仿宋_GB2312" w:hAnsi="宋体" w:eastAsia="仿宋_GB2312"/>
                <w:color w:val="FF0000"/>
                <w:sz w:val="18"/>
                <w:szCs w:val="18"/>
              </w:rPr>
              <w:t>、</w:t>
            </w:r>
            <w:r>
              <w:rPr>
                <w:rFonts w:ascii="仿宋_GB2312" w:hAnsi="宋体" w:eastAsia="仿宋_GB2312"/>
                <w:color w:val="FF0000"/>
                <w:sz w:val="18"/>
                <w:szCs w:val="18"/>
              </w:rPr>
              <w:t>《关于全面推行行政执法公示制度执法全过程记录制度重大执法决定法制审核制度的指导意见》</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7个工作日</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spacing w:line="260" w:lineRule="exact"/>
              <w:rPr>
                <w:rFonts w:ascii="仿宋_GB2312" w:hAnsi="宋体" w:eastAsia="仿宋_GB2312"/>
                <w:color w:val="FF0000"/>
                <w:sz w:val="18"/>
                <w:szCs w:val="18"/>
              </w:rPr>
            </w:pPr>
            <w:r>
              <w:rPr>
                <w:rFonts w:ascii="仿宋_GB2312" w:hAnsi="宋体" w:eastAsia="仿宋_GB2312"/>
                <w:color w:val="FF0000"/>
                <w:sz w:val="18"/>
                <w:szCs w:val="18"/>
              </w:rPr>
              <w:t>■政府服务中心</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bl>
    <w:p>
      <w:pPr>
        <w:rPr>
          <w:color w:val="FF0000"/>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E326F2"/>
    <w:rsid w:val="1C77123E"/>
    <w:rsid w:val="557B04A8"/>
    <w:rsid w:val="5CED5222"/>
    <w:rsid w:val="797A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love橘</cp:lastModifiedBy>
  <dcterms:modified xsi:type="dcterms:W3CDTF">2020-09-03T00:54:29Z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