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养老服务领域基层政务公开标准目录</w:t>
      </w:r>
      <w:bookmarkEnd w:id="0"/>
    </w:p>
    <w:tbl>
      <w:tblPr>
        <w:tblStyle w:val="5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>
            <w:pPr>
              <w:spacing w:after="240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767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00B050"/>
                <w:sz w:val="18"/>
                <w:szCs w:val="18"/>
                <w:lang w:eastAsia="zh-CN"/>
              </w:rPr>
              <w:t>现场或电话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本行政区域养老机构评估事项（综合评估、标准评定等）申请数量，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bookmarkStart w:id="1" w:name="_GoBack" w:colFirst="0" w:colLast="13"/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bookmarkEnd w:id="1"/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27A9684F"/>
    <w:rsid w:val="64D9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2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请不要使用旧密码</cp:lastModifiedBy>
  <dcterms:modified xsi:type="dcterms:W3CDTF">2020-09-02T08:07:53Z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