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  <w:bookmarkEnd w:id="0"/>
    </w:p>
    <w:tbl>
      <w:tblPr>
        <w:tblStyle w:val="3"/>
        <w:tblW w:w="14952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bookmarkStart w:id="1" w:name="_GoBack" w:colFirst="0" w:colLast="13"/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  <w:t>城镇燃气管理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燃气经营者改动市政燃气设施许可（中、低压部分武清、宝坻、宁河、静海、蓟州五区权限，东丽、西青、津南、北辰区中低压部分授市级委托实施，高压部分授市级委托实施）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户外广告及临时悬挂、设置标语或宣传品许可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《城市市容和环境卫生管理条例》（国务院令第101号，2011年修订）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对关闭、闲置、拆除环卫设施的许可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《城市生活垃圾管理办法》（建设部令第 157 号，2007年）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城市园林绿化管理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工程建设涉及城市绿地、树木许可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从事城市生活垃圾经营性清扫、收集、运输服务许可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履带车、铁轮车或者超限车上路行驶许可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城市建筑垃圾处置许可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bookmarkEnd w:id="1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55A44"/>
    <w:rsid w:val="6A2A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请不要使用旧密码</cp:lastModifiedBy>
  <dcterms:modified xsi:type="dcterms:W3CDTF">2020-09-02T08:04:10Z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