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食品药品监管领域基层政务公开标准目录</w:t>
      </w:r>
    </w:p>
    <w:tbl>
      <w:tblPr>
        <w:tblStyle w:val="5"/>
        <w:tblW w:w="15480" w:type="dxa"/>
        <w:tblInd w:w="-7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FF0000"/>
                <w:sz w:val="15"/>
                <w:szCs w:val="15"/>
              </w:rPr>
            </w:pPr>
            <w:r>
              <w:rPr>
                <w:rFonts w:ascii="宋体" w:hAnsi="宋体"/>
                <w:color w:val="FF0000"/>
                <w:sz w:val="15"/>
                <w:szCs w:val="15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263FFC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由区级组织的医疗器械抽检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00" w:lineRule="exact"/>
              <w:ind w:firstLine="0" w:firstLineChars="0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被抽检单位名称、抽检产品名称、标示的生产单位、标示的产品生产日期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公共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7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63FFC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 ■两微一端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■社区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企事业单位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17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63FFC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《政府信息公开条例》、《关于全面推进政务公开工作的意见》《食品药品投诉举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18"/>
                <w:szCs w:val="18"/>
              </w:rPr>
              <w:t>报管理办法》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63FFC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19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263FFC"/>
                <w:sz w:val="18"/>
                <w:szCs w:val="18"/>
                <w:lang w:eastAsia="zh-CN"/>
              </w:rPr>
              <w:t>王卜庄镇人民政府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CF"/>
    <w:rsid w:val="00254D37"/>
    <w:rsid w:val="00344BCF"/>
    <w:rsid w:val="004E7AEE"/>
    <w:rsid w:val="00643CAE"/>
    <w:rsid w:val="007C7322"/>
    <w:rsid w:val="00806881"/>
    <w:rsid w:val="0082774A"/>
    <w:rsid w:val="0092377D"/>
    <w:rsid w:val="00EC2D26"/>
    <w:rsid w:val="00FC4C35"/>
    <w:rsid w:val="4E85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8">
    <w:name w:val="列出段落1"/>
    <w:basedOn w:val="1"/>
    <w:uiPriority w:val="0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501</Words>
  <Characters>2856</Characters>
  <Lines>23</Lines>
  <Paragraphs>6</Paragraphs>
  <TotalTime>2</TotalTime>
  <ScaleCrop>false</ScaleCrop>
  <LinksUpToDate>false</LinksUpToDate>
  <CharactersWithSpaces>3351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2020-05-20T00:57:00Z</dcterms:created>
  <dc:creator>陈桂红</dc:creator>
  <cp:lastModifiedBy>请不要使用旧密码</cp:lastModifiedBy>
  <dcterms:modified xsi:type="dcterms:W3CDTF">2020-09-01T08:59:06Z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