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EA63E">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公共文化服务领域基层政务公开标准目录</w:t>
      </w:r>
    </w:p>
    <w:tbl>
      <w:tblPr>
        <w:tblStyle w:val="3"/>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3E4D6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14:paraId="5BDA4626">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0"/>
            <w:vAlign w:val="center"/>
          </w:tcPr>
          <w:p w14:paraId="5723CCE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0"/>
            <w:vAlign w:val="center"/>
          </w:tcPr>
          <w:p w14:paraId="0B4D265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0"/>
            <w:vAlign w:val="center"/>
          </w:tcPr>
          <w:p w14:paraId="2A7EC19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0"/>
            <w:vAlign w:val="center"/>
          </w:tcPr>
          <w:p w14:paraId="6156E9E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0"/>
            <w:vAlign w:val="center"/>
          </w:tcPr>
          <w:p w14:paraId="4158C1E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0"/>
            <w:vAlign w:val="center"/>
          </w:tcPr>
          <w:p w14:paraId="0E244D08">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0"/>
            <w:vAlign w:val="center"/>
          </w:tcPr>
          <w:p w14:paraId="21B50B9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0"/>
            <w:vAlign w:val="center"/>
          </w:tcPr>
          <w:p w14:paraId="06FD2A5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0"/>
            <w:vAlign w:val="center"/>
          </w:tcPr>
          <w:p w14:paraId="4848434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4565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14:paraId="56EBBCDF">
            <w:pPr>
              <w:widowControl/>
              <w:jc w:val="left"/>
              <w:rPr>
                <w:rFonts w:ascii="Times New Roman" w:hAnsi="Times New Roman"/>
                <w:color w:val="000000"/>
                <w:kern w:val="0"/>
                <w:sz w:val="22"/>
              </w:rPr>
            </w:pPr>
          </w:p>
        </w:tc>
        <w:tc>
          <w:tcPr>
            <w:tcW w:w="734" w:type="dxa"/>
            <w:noWrap w:val="0"/>
            <w:vAlign w:val="center"/>
          </w:tcPr>
          <w:p w14:paraId="2B2231D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0"/>
            <w:vAlign w:val="center"/>
          </w:tcPr>
          <w:p w14:paraId="3B20B6F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0"/>
            <w:vAlign w:val="center"/>
          </w:tcPr>
          <w:p w14:paraId="48F06342">
            <w:pPr>
              <w:widowControl/>
              <w:jc w:val="left"/>
              <w:rPr>
                <w:rFonts w:ascii="黑体" w:hAnsi="宋体" w:eastAsia="黑体" w:cs="宋体"/>
                <w:color w:val="000000"/>
                <w:kern w:val="0"/>
                <w:sz w:val="22"/>
              </w:rPr>
            </w:pPr>
          </w:p>
        </w:tc>
        <w:tc>
          <w:tcPr>
            <w:tcW w:w="2159" w:type="dxa"/>
            <w:vMerge w:val="continue"/>
            <w:noWrap w:val="0"/>
            <w:vAlign w:val="center"/>
          </w:tcPr>
          <w:p w14:paraId="5E5F3DC3">
            <w:pPr>
              <w:widowControl/>
              <w:jc w:val="left"/>
              <w:rPr>
                <w:rFonts w:ascii="黑体" w:hAnsi="宋体" w:eastAsia="黑体" w:cs="宋体"/>
                <w:color w:val="000000"/>
                <w:kern w:val="0"/>
                <w:sz w:val="22"/>
              </w:rPr>
            </w:pPr>
          </w:p>
        </w:tc>
        <w:tc>
          <w:tcPr>
            <w:tcW w:w="1366" w:type="dxa"/>
            <w:vMerge w:val="continue"/>
            <w:noWrap w:val="0"/>
            <w:vAlign w:val="center"/>
          </w:tcPr>
          <w:p w14:paraId="084C0371">
            <w:pPr>
              <w:widowControl/>
              <w:jc w:val="left"/>
              <w:rPr>
                <w:rFonts w:ascii="黑体" w:hAnsi="宋体" w:eastAsia="黑体" w:cs="宋体"/>
                <w:color w:val="000000"/>
                <w:kern w:val="0"/>
                <w:sz w:val="22"/>
              </w:rPr>
            </w:pPr>
          </w:p>
        </w:tc>
        <w:tc>
          <w:tcPr>
            <w:tcW w:w="1410" w:type="dxa"/>
            <w:vMerge w:val="continue"/>
            <w:noWrap w:val="0"/>
            <w:vAlign w:val="center"/>
          </w:tcPr>
          <w:p w14:paraId="2048BA0D">
            <w:pPr>
              <w:widowControl/>
              <w:jc w:val="left"/>
              <w:rPr>
                <w:rFonts w:ascii="黑体" w:hAnsi="宋体" w:eastAsia="黑体" w:cs="宋体"/>
                <w:color w:val="000000"/>
                <w:kern w:val="0"/>
                <w:sz w:val="22"/>
              </w:rPr>
            </w:pPr>
          </w:p>
        </w:tc>
        <w:tc>
          <w:tcPr>
            <w:tcW w:w="1860" w:type="dxa"/>
            <w:vMerge w:val="continue"/>
            <w:noWrap w:val="0"/>
            <w:vAlign w:val="center"/>
          </w:tcPr>
          <w:p w14:paraId="24CB4CC0">
            <w:pPr>
              <w:widowControl/>
              <w:jc w:val="left"/>
              <w:rPr>
                <w:rFonts w:ascii="黑体" w:hAnsi="宋体" w:eastAsia="黑体" w:cs="宋体"/>
                <w:kern w:val="0"/>
                <w:sz w:val="22"/>
              </w:rPr>
            </w:pPr>
          </w:p>
        </w:tc>
        <w:tc>
          <w:tcPr>
            <w:tcW w:w="705" w:type="dxa"/>
            <w:noWrap w:val="0"/>
            <w:vAlign w:val="center"/>
          </w:tcPr>
          <w:p w14:paraId="049B3BC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0"/>
            <w:vAlign w:val="center"/>
          </w:tcPr>
          <w:p w14:paraId="7191F5C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0"/>
            <w:vAlign w:val="center"/>
          </w:tcPr>
          <w:p w14:paraId="3E6E30C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0"/>
            <w:vAlign w:val="center"/>
          </w:tcPr>
          <w:p w14:paraId="2E27ADE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0"/>
            <w:vAlign w:val="center"/>
          </w:tcPr>
          <w:p w14:paraId="4486620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0"/>
            <w:vAlign w:val="center"/>
          </w:tcPr>
          <w:p w14:paraId="5D1D21B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26CC8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3B67E72">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w:t>
            </w:r>
          </w:p>
        </w:tc>
        <w:tc>
          <w:tcPr>
            <w:tcW w:w="734" w:type="dxa"/>
            <w:vMerge w:val="restart"/>
            <w:noWrap w:val="0"/>
            <w:vAlign w:val="center"/>
          </w:tcPr>
          <w:p w14:paraId="630CEE47">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4BABB3EC">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互联网上网服务营业场所经营许可</w:t>
            </w:r>
          </w:p>
        </w:tc>
        <w:tc>
          <w:tcPr>
            <w:tcW w:w="2145" w:type="dxa"/>
            <w:noWrap w:val="0"/>
            <w:vAlign w:val="center"/>
          </w:tcPr>
          <w:p w14:paraId="66AC64D5">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18F1690E">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《互联网上网服务营业场所管理条例》（国务院令第363号，2016年修订）</w:t>
            </w:r>
          </w:p>
        </w:tc>
        <w:tc>
          <w:tcPr>
            <w:tcW w:w="1366" w:type="dxa"/>
            <w:noWrap w:val="0"/>
            <w:vAlign w:val="center"/>
          </w:tcPr>
          <w:p w14:paraId="68CE489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2B1B7238">
            <w:pPr>
              <w:jc w:val="center"/>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48241653">
            <w:pPr>
              <w:adjustRightInd w:val="0"/>
              <w:snapToGrid w:val="0"/>
              <w:rPr>
                <w:rFonts w:hint="eastAsia"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0"/>
            <w:vAlign w:val="center"/>
          </w:tcPr>
          <w:p w14:paraId="56AE2496">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0"/>
            <w:vAlign w:val="center"/>
          </w:tcPr>
          <w:p w14:paraId="0503B30D">
            <w:pPr>
              <w:adjustRightInd w:val="0"/>
              <w:snapToGrid w:val="0"/>
              <w:jc w:val="center"/>
              <w:rPr>
                <w:rFonts w:hint="eastAsia" w:ascii="仿宋_GB2312" w:hAnsi="Times New Roman" w:eastAsia="仿宋_GB2312"/>
                <w:color w:val="FF0000"/>
                <w:sz w:val="18"/>
                <w:szCs w:val="18"/>
              </w:rPr>
            </w:pPr>
            <w:bookmarkStart w:id="0" w:name="_GoBack"/>
            <w:bookmarkEnd w:id="0"/>
          </w:p>
        </w:tc>
        <w:tc>
          <w:tcPr>
            <w:tcW w:w="495" w:type="dxa"/>
            <w:noWrap w:val="0"/>
            <w:vAlign w:val="center"/>
          </w:tcPr>
          <w:p w14:paraId="1E6F6B7F">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0"/>
            <w:vAlign w:val="center"/>
          </w:tcPr>
          <w:p w14:paraId="655E4C85">
            <w:pPr>
              <w:adjustRightInd w:val="0"/>
              <w:snapToGrid w:val="0"/>
              <w:jc w:val="center"/>
              <w:rPr>
                <w:rFonts w:hint="eastAsia" w:ascii="仿宋_GB2312" w:hAnsi="Times New Roman" w:eastAsia="仿宋_GB2312"/>
                <w:color w:val="FF0000"/>
                <w:sz w:val="18"/>
                <w:szCs w:val="18"/>
              </w:rPr>
            </w:pPr>
          </w:p>
        </w:tc>
        <w:tc>
          <w:tcPr>
            <w:tcW w:w="533" w:type="dxa"/>
            <w:noWrap w:val="0"/>
            <w:vAlign w:val="center"/>
          </w:tcPr>
          <w:p w14:paraId="060BA21F">
            <w:pPr>
              <w:widowControl/>
              <w:jc w:val="center"/>
              <w:rPr>
                <w:rFonts w:hint="eastAsia" w:ascii="仿宋_GB2312" w:hAnsi="Times New Roman" w:eastAsia="仿宋_GB2312"/>
                <w:color w:val="FF0000"/>
                <w:sz w:val="18"/>
                <w:szCs w:val="18"/>
              </w:rPr>
            </w:pPr>
            <w:r>
              <w:rPr>
                <w:rFonts w:hint="eastAsia" w:ascii="仿宋_GB2312" w:eastAsia="仿宋_GB2312"/>
                <w:color w:val="FF0000"/>
                <w:sz w:val="18"/>
                <w:szCs w:val="18"/>
                <w:highlight w:val="none"/>
              </w:rPr>
              <w:t>√</w:t>
            </w:r>
          </w:p>
        </w:tc>
        <w:tc>
          <w:tcPr>
            <w:tcW w:w="622" w:type="dxa"/>
            <w:noWrap w:val="0"/>
            <w:vAlign w:val="center"/>
          </w:tcPr>
          <w:p w14:paraId="5199F2A5">
            <w:pPr>
              <w:widowControl/>
              <w:jc w:val="center"/>
              <w:rPr>
                <w:rFonts w:hint="eastAsia" w:ascii="仿宋_GB2312" w:hAnsi="Times New Roman" w:eastAsia="仿宋_GB2312"/>
                <w:color w:val="FF0000"/>
                <w:sz w:val="18"/>
                <w:szCs w:val="18"/>
              </w:rPr>
            </w:pPr>
          </w:p>
        </w:tc>
      </w:tr>
      <w:tr w14:paraId="67B0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F3E92AF">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2</w:t>
            </w:r>
          </w:p>
        </w:tc>
        <w:tc>
          <w:tcPr>
            <w:tcW w:w="734" w:type="dxa"/>
            <w:vMerge w:val="continue"/>
            <w:noWrap w:val="0"/>
            <w:vAlign w:val="center"/>
          </w:tcPr>
          <w:p w14:paraId="71214784">
            <w:pPr>
              <w:spacing w:line="240" w:lineRule="exact"/>
              <w:rPr>
                <w:rFonts w:hint="eastAsia" w:ascii="仿宋_GB2312" w:hAnsi="Times New Roman" w:eastAsia="仿宋_GB2312"/>
                <w:color w:val="FF0000"/>
                <w:sz w:val="18"/>
                <w:szCs w:val="18"/>
              </w:rPr>
            </w:pPr>
          </w:p>
        </w:tc>
        <w:tc>
          <w:tcPr>
            <w:tcW w:w="1082" w:type="dxa"/>
            <w:noWrap w:val="0"/>
            <w:vAlign w:val="center"/>
          </w:tcPr>
          <w:p w14:paraId="1811BD5D">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文艺表演团体设立审批</w:t>
            </w:r>
          </w:p>
        </w:tc>
        <w:tc>
          <w:tcPr>
            <w:tcW w:w="2145" w:type="dxa"/>
            <w:noWrap w:val="0"/>
            <w:vAlign w:val="center"/>
          </w:tcPr>
          <w:p w14:paraId="42A2A711">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0139895E">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 《营业性演出管理条例实施细则》（文化部令第47号，2009年）</w:t>
            </w:r>
          </w:p>
        </w:tc>
        <w:tc>
          <w:tcPr>
            <w:tcW w:w="1366" w:type="dxa"/>
            <w:noWrap w:val="0"/>
            <w:vAlign w:val="center"/>
          </w:tcPr>
          <w:p w14:paraId="04F3C56F">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22888376">
            <w:pPr>
              <w:jc w:val="center"/>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6DD94BCF">
            <w:pPr>
              <w:adjustRightInd w:val="0"/>
              <w:snapToGrid w:val="0"/>
              <w:rPr>
                <w:rFonts w:hint="eastAsia"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0"/>
            <w:vAlign w:val="center"/>
          </w:tcPr>
          <w:p w14:paraId="12BD14A9">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0"/>
            <w:vAlign w:val="center"/>
          </w:tcPr>
          <w:p w14:paraId="5A926FFF">
            <w:pPr>
              <w:adjustRightInd w:val="0"/>
              <w:snapToGrid w:val="0"/>
              <w:jc w:val="center"/>
              <w:rPr>
                <w:rFonts w:hint="eastAsia" w:ascii="仿宋_GB2312" w:hAnsi="Times New Roman" w:eastAsia="仿宋_GB2312"/>
                <w:color w:val="FF0000"/>
                <w:sz w:val="18"/>
                <w:szCs w:val="18"/>
              </w:rPr>
            </w:pPr>
          </w:p>
        </w:tc>
        <w:tc>
          <w:tcPr>
            <w:tcW w:w="495" w:type="dxa"/>
            <w:noWrap w:val="0"/>
            <w:vAlign w:val="center"/>
          </w:tcPr>
          <w:p w14:paraId="4537E930">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0"/>
            <w:vAlign w:val="center"/>
          </w:tcPr>
          <w:p w14:paraId="3D75C9C2">
            <w:pPr>
              <w:adjustRightInd w:val="0"/>
              <w:snapToGrid w:val="0"/>
              <w:jc w:val="center"/>
              <w:rPr>
                <w:rFonts w:hint="eastAsia" w:ascii="仿宋_GB2312" w:hAnsi="Times New Roman" w:eastAsia="仿宋_GB2312"/>
                <w:color w:val="FF0000"/>
                <w:sz w:val="18"/>
                <w:szCs w:val="18"/>
              </w:rPr>
            </w:pPr>
          </w:p>
        </w:tc>
        <w:tc>
          <w:tcPr>
            <w:tcW w:w="533" w:type="dxa"/>
            <w:noWrap w:val="0"/>
            <w:vAlign w:val="center"/>
          </w:tcPr>
          <w:p w14:paraId="443F4217">
            <w:pPr>
              <w:widowControl/>
              <w:jc w:val="center"/>
              <w:rPr>
                <w:rFonts w:hint="eastAsia" w:ascii="仿宋_GB2312" w:hAnsi="Times New Roman" w:eastAsia="仿宋_GB2312"/>
                <w:color w:val="FF0000"/>
                <w:sz w:val="18"/>
                <w:szCs w:val="18"/>
              </w:rPr>
            </w:pPr>
            <w:r>
              <w:rPr>
                <w:rFonts w:hint="eastAsia" w:ascii="仿宋_GB2312" w:eastAsia="仿宋_GB2312"/>
                <w:color w:val="FF0000"/>
                <w:sz w:val="18"/>
                <w:szCs w:val="18"/>
                <w:highlight w:val="none"/>
              </w:rPr>
              <w:t>√</w:t>
            </w:r>
          </w:p>
        </w:tc>
        <w:tc>
          <w:tcPr>
            <w:tcW w:w="622" w:type="dxa"/>
            <w:noWrap w:val="0"/>
            <w:vAlign w:val="center"/>
          </w:tcPr>
          <w:p w14:paraId="139948BF">
            <w:pPr>
              <w:widowControl/>
              <w:jc w:val="center"/>
              <w:rPr>
                <w:rFonts w:hint="eastAsia" w:ascii="仿宋_GB2312" w:hAnsi="Times New Roman" w:eastAsia="仿宋_GB2312"/>
                <w:color w:val="FF0000"/>
                <w:sz w:val="18"/>
                <w:szCs w:val="18"/>
              </w:rPr>
            </w:pPr>
          </w:p>
        </w:tc>
      </w:tr>
      <w:tr w14:paraId="2F55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08C7682">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3</w:t>
            </w:r>
          </w:p>
        </w:tc>
        <w:tc>
          <w:tcPr>
            <w:tcW w:w="734" w:type="dxa"/>
            <w:noWrap w:val="0"/>
            <w:vAlign w:val="center"/>
          </w:tcPr>
          <w:p w14:paraId="6F2E19F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411D0335">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营业性演出审批</w:t>
            </w:r>
          </w:p>
        </w:tc>
        <w:tc>
          <w:tcPr>
            <w:tcW w:w="2145" w:type="dxa"/>
            <w:noWrap w:val="0"/>
            <w:vAlign w:val="center"/>
          </w:tcPr>
          <w:p w14:paraId="4DAA67D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C52EF83">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《营业性演出管理条例》（国务院令第439号，2016年修订） 《营业性演出管理条例实施细则》（文化部令第47号）</w:t>
            </w:r>
          </w:p>
        </w:tc>
        <w:tc>
          <w:tcPr>
            <w:tcW w:w="1366" w:type="dxa"/>
            <w:noWrap w:val="0"/>
            <w:vAlign w:val="center"/>
          </w:tcPr>
          <w:p w14:paraId="482D6DEE">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4600C516">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35FA12F2">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261DB0ED">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14:paraId="1B342698">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14:paraId="7C3C9E92">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14:paraId="2BB1387C">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14:paraId="58BEC28A">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14:paraId="52764B9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8459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816959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4</w:t>
            </w:r>
          </w:p>
        </w:tc>
        <w:tc>
          <w:tcPr>
            <w:tcW w:w="734" w:type="dxa"/>
            <w:vMerge w:val="restart"/>
            <w:noWrap w:val="0"/>
            <w:vAlign w:val="center"/>
          </w:tcPr>
          <w:p w14:paraId="03689DFE">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60BED6AA">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娱乐场所经营许可</w:t>
            </w:r>
          </w:p>
        </w:tc>
        <w:tc>
          <w:tcPr>
            <w:tcW w:w="2145" w:type="dxa"/>
            <w:noWrap w:val="0"/>
            <w:vAlign w:val="center"/>
          </w:tcPr>
          <w:p w14:paraId="08BF79E0">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E63968B">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《娱乐场所管理条例》（国务院令第458号，2016年修订） 《娱乐场所管理办法》（文化部令第55号）</w:t>
            </w:r>
          </w:p>
        </w:tc>
        <w:tc>
          <w:tcPr>
            <w:tcW w:w="1366" w:type="dxa"/>
            <w:noWrap w:val="0"/>
            <w:vAlign w:val="center"/>
          </w:tcPr>
          <w:p w14:paraId="57DE93E3">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61A88592">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23AEAF51">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591076F2">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14:paraId="792552AF">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14:paraId="515B5475">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14:paraId="083A35D2">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14:paraId="490E735F">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14:paraId="3354AC46">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71C8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EE99737">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5</w:t>
            </w:r>
          </w:p>
        </w:tc>
        <w:tc>
          <w:tcPr>
            <w:tcW w:w="734" w:type="dxa"/>
            <w:vMerge w:val="continue"/>
            <w:noWrap w:val="0"/>
            <w:vAlign w:val="center"/>
          </w:tcPr>
          <w:p w14:paraId="1171A785">
            <w:pPr>
              <w:spacing w:line="240" w:lineRule="exact"/>
              <w:rPr>
                <w:rFonts w:ascii="仿宋_GB2312" w:hAnsi="Times New Roman" w:eastAsia="仿宋_GB2312"/>
                <w:color w:val="FF0000"/>
                <w:sz w:val="18"/>
                <w:szCs w:val="18"/>
              </w:rPr>
            </w:pPr>
          </w:p>
        </w:tc>
        <w:tc>
          <w:tcPr>
            <w:tcW w:w="1082" w:type="dxa"/>
            <w:noWrap w:val="0"/>
            <w:vAlign w:val="center"/>
          </w:tcPr>
          <w:p w14:paraId="430742F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县级文物保护单位实施原址保护措施审批</w:t>
            </w:r>
          </w:p>
        </w:tc>
        <w:tc>
          <w:tcPr>
            <w:tcW w:w="2145" w:type="dxa"/>
            <w:noWrap w:val="0"/>
            <w:vAlign w:val="center"/>
          </w:tcPr>
          <w:p w14:paraId="66736F3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7982DCE3">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w:t>
            </w:r>
          </w:p>
        </w:tc>
        <w:tc>
          <w:tcPr>
            <w:tcW w:w="1366" w:type="dxa"/>
            <w:noWrap w:val="0"/>
            <w:vAlign w:val="center"/>
          </w:tcPr>
          <w:p w14:paraId="0C2A6D9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3280C911">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45FB0BA0">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6082ED9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14:paraId="501AD0E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14:paraId="36D7473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14:paraId="5457D53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14:paraId="129F8CC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14:paraId="1244DB84">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4C8D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990F775">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6</w:t>
            </w:r>
          </w:p>
        </w:tc>
        <w:tc>
          <w:tcPr>
            <w:tcW w:w="734" w:type="dxa"/>
            <w:vMerge w:val="restart"/>
            <w:noWrap w:val="0"/>
            <w:vAlign w:val="center"/>
          </w:tcPr>
          <w:p w14:paraId="4D1DCAE5">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010952AB">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县级文物保护单位和未核定为文物保护单位的不可移动文物修缮审批</w:t>
            </w:r>
          </w:p>
        </w:tc>
        <w:tc>
          <w:tcPr>
            <w:tcW w:w="2145" w:type="dxa"/>
            <w:noWrap w:val="0"/>
            <w:vAlign w:val="center"/>
          </w:tcPr>
          <w:p w14:paraId="21388C9D">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781F45C">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《中华人民共和国文物保护法》（2015年第十二届全国人民代表大会常务委员会第十四次会议决定，第4次修正）</w:t>
            </w:r>
          </w:p>
        </w:tc>
        <w:tc>
          <w:tcPr>
            <w:tcW w:w="1366" w:type="dxa"/>
            <w:noWrap w:val="0"/>
            <w:vAlign w:val="center"/>
          </w:tcPr>
          <w:p w14:paraId="469A06C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757A2B88">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6F1A9D13">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C2B65F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14:paraId="5A02867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14:paraId="4C0673A7">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14:paraId="7DAB04F6">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14:paraId="1ACF248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14:paraId="3FC95CE2">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6F69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63A36A0">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7</w:t>
            </w:r>
          </w:p>
        </w:tc>
        <w:tc>
          <w:tcPr>
            <w:tcW w:w="734" w:type="dxa"/>
            <w:vMerge w:val="continue"/>
            <w:noWrap w:val="0"/>
            <w:vAlign w:val="center"/>
          </w:tcPr>
          <w:p w14:paraId="2A0ED5DA">
            <w:pPr>
              <w:spacing w:line="240" w:lineRule="exact"/>
              <w:rPr>
                <w:rFonts w:ascii="仿宋_GB2312" w:hAnsi="Times New Roman" w:eastAsia="仿宋_GB2312"/>
                <w:color w:val="FF0000"/>
                <w:sz w:val="18"/>
                <w:szCs w:val="18"/>
              </w:rPr>
            </w:pPr>
          </w:p>
        </w:tc>
        <w:tc>
          <w:tcPr>
            <w:tcW w:w="1082" w:type="dxa"/>
            <w:noWrap w:val="0"/>
            <w:vAlign w:val="center"/>
          </w:tcPr>
          <w:p w14:paraId="76B0F298">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非国有文物收藏单位和其他单位举办展览需借用国有馆藏二级以下文物审批</w:t>
            </w:r>
          </w:p>
        </w:tc>
        <w:tc>
          <w:tcPr>
            <w:tcW w:w="2145" w:type="dxa"/>
            <w:noWrap w:val="0"/>
            <w:vAlign w:val="center"/>
          </w:tcPr>
          <w:p w14:paraId="117F61B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149662CA">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0"/>
            <w:vAlign w:val="center"/>
          </w:tcPr>
          <w:p w14:paraId="214160A0">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502FFB4D">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4D42F453">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037B33B9">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14:paraId="380776F3">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14:paraId="30C1BA7E">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14:paraId="1EF2633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14:paraId="1CE8A06F">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14:paraId="4D848DF1">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14:paraId="4E11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2EA301A">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8</w:t>
            </w:r>
          </w:p>
        </w:tc>
        <w:tc>
          <w:tcPr>
            <w:tcW w:w="734" w:type="dxa"/>
            <w:noWrap w:val="0"/>
            <w:vAlign w:val="center"/>
          </w:tcPr>
          <w:p w14:paraId="2D1DAC92">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7C757BBF">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拆除公共文化设施或改变其功能、用途许可</w:t>
            </w:r>
          </w:p>
        </w:tc>
        <w:tc>
          <w:tcPr>
            <w:tcW w:w="2145" w:type="dxa"/>
            <w:noWrap w:val="0"/>
            <w:vAlign w:val="center"/>
          </w:tcPr>
          <w:p w14:paraId="37CD750D">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3AEF4CC9">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xml:space="preserve">《行政许可法》 《政府信息公开条例》 《公共文化体育设施条例》（中华人民共和国国务院令第382号） </w:t>
            </w:r>
          </w:p>
        </w:tc>
        <w:tc>
          <w:tcPr>
            <w:tcW w:w="1366" w:type="dxa"/>
            <w:noWrap w:val="0"/>
            <w:vAlign w:val="center"/>
          </w:tcPr>
          <w:p w14:paraId="1BEB7FA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4D6294D5">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207A3BF0">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D9F41D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17CCE46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74D1500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29102DB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314072A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2A344AA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4D51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94F3AF2">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9</w:t>
            </w:r>
          </w:p>
        </w:tc>
        <w:tc>
          <w:tcPr>
            <w:tcW w:w="734" w:type="dxa"/>
            <w:noWrap w:val="0"/>
            <w:vAlign w:val="center"/>
          </w:tcPr>
          <w:p w14:paraId="75C7529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3998A6D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乡镇设立广播电视站和机关、部队、团体、企业、事业单位设立有线广播电视站许可</w:t>
            </w:r>
          </w:p>
        </w:tc>
        <w:tc>
          <w:tcPr>
            <w:tcW w:w="2145" w:type="dxa"/>
            <w:noWrap w:val="0"/>
            <w:vAlign w:val="center"/>
          </w:tcPr>
          <w:p w14:paraId="4A617AB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6B368E2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0"/>
            <w:vAlign w:val="center"/>
          </w:tcPr>
          <w:p w14:paraId="47C34F0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56316978">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7928C285">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6150F84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7703505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70258B1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1F1E327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3214B86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78F20C3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DF0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71AEB17">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10</w:t>
            </w:r>
          </w:p>
        </w:tc>
        <w:tc>
          <w:tcPr>
            <w:tcW w:w="734" w:type="dxa"/>
            <w:noWrap w:val="0"/>
            <w:vAlign w:val="center"/>
          </w:tcPr>
          <w:p w14:paraId="085CC1BE">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2E2194BB">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拍摄文物许可及利用县级文物保护单位举办大型活动许可</w:t>
            </w:r>
          </w:p>
        </w:tc>
        <w:tc>
          <w:tcPr>
            <w:tcW w:w="2145" w:type="dxa"/>
            <w:noWrap w:val="0"/>
            <w:vAlign w:val="center"/>
          </w:tcPr>
          <w:p w14:paraId="618354F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664FBBD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《天津市文物保护条例》（市人大公告，第102号）</w:t>
            </w:r>
          </w:p>
        </w:tc>
        <w:tc>
          <w:tcPr>
            <w:tcW w:w="1366" w:type="dxa"/>
            <w:noWrap w:val="0"/>
            <w:vAlign w:val="center"/>
          </w:tcPr>
          <w:p w14:paraId="02F186F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38EBEFFF">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6AB6349F">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3CC82C1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3DE3A85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1B55CFE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131990C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39DD672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567831F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6B641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F6419CF">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11</w:t>
            </w:r>
          </w:p>
        </w:tc>
        <w:tc>
          <w:tcPr>
            <w:tcW w:w="734" w:type="dxa"/>
            <w:noWrap w:val="0"/>
            <w:vAlign w:val="center"/>
          </w:tcPr>
          <w:p w14:paraId="2578FBE3">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52651294">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非国有文物收藏单位和其他单位举办展览借用二级及其以下国有馆藏文物许可</w:t>
            </w:r>
          </w:p>
        </w:tc>
        <w:tc>
          <w:tcPr>
            <w:tcW w:w="2145" w:type="dxa"/>
            <w:noWrap w:val="0"/>
            <w:vAlign w:val="center"/>
          </w:tcPr>
          <w:p w14:paraId="4B7210D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733355F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0"/>
            <w:vAlign w:val="center"/>
          </w:tcPr>
          <w:p w14:paraId="2F03808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3A56D21A">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6EFF3929">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4EF6A9F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4A603BF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637350D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2E39890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534331A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477D218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A37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E6B39B1">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12</w:t>
            </w:r>
          </w:p>
        </w:tc>
        <w:tc>
          <w:tcPr>
            <w:tcW w:w="734" w:type="dxa"/>
            <w:noWrap w:val="0"/>
            <w:vAlign w:val="center"/>
          </w:tcPr>
          <w:p w14:paraId="49AEFD5B">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27B22C21">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区县级文物保护单位保护工程方案许可</w:t>
            </w:r>
          </w:p>
        </w:tc>
        <w:tc>
          <w:tcPr>
            <w:tcW w:w="2145" w:type="dxa"/>
            <w:noWrap w:val="0"/>
            <w:vAlign w:val="center"/>
          </w:tcPr>
          <w:p w14:paraId="1D4F928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07184F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《中华人民共和国文物保护法》(2015年修订)  《天津市文物保护条例》（2007年）</w:t>
            </w:r>
          </w:p>
        </w:tc>
        <w:tc>
          <w:tcPr>
            <w:tcW w:w="1366" w:type="dxa"/>
            <w:noWrap w:val="0"/>
            <w:vAlign w:val="center"/>
          </w:tcPr>
          <w:p w14:paraId="466726D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4A8FC255">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5BBE76FB">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801C5D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4566AAC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6F53EEE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1B52C00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2D16588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0FC24F1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6E1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32AD602">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13</w:t>
            </w:r>
          </w:p>
        </w:tc>
        <w:tc>
          <w:tcPr>
            <w:tcW w:w="734" w:type="dxa"/>
            <w:noWrap w:val="0"/>
            <w:vAlign w:val="center"/>
          </w:tcPr>
          <w:p w14:paraId="4C6E781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4736821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未核定为文物保护单位的不可移动文物迁移、拆除许可</w:t>
            </w:r>
          </w:p>
        </w:tc>
        <w:tc>
          <w:tcPr>
            <w:tcW w:w="2145" w:type="dxa"/>
            <w:noWrap w:val="0"/>
            <w:vAlign w:val="center"/>
          </w:tcPr>
          <w:p w14:paraId="57332B6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7E50536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《中华人民共和国文物保护法》(2015年修订)  《天津市文物保护条例》（2008年）</w:t>
            </w:r>
          </w:p>
        </w:tc>
        <w:tc>
          <w:tcPr>
            <w:tcW w:w="1366" w:type="dxa"/>
            <w:noWrap w:val="0"/>
            <w:vAlign w:val="center"/>
          </w:tcPr>
          <w:p w14:paraId="7F48C45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3C183DA4">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52944C3B">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6AAA71B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2DC25EB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533CD1A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61010EC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5293AC7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1D7F5C7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1B89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8B602FE">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14</w:t>
            </w:r>
          </w:p>
        </w:tc>
        <w:tc>
          <w:tcPr>
            <w:tcW w:w="734" w:type="dxa"/>
            <w:noWrap w:val="0"/>
            <w:vAlign w:val="center"/>
          </w:tcPr>
          <w:p w14:paraId="2EC27A5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0509B09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广播电视专用频段频率指配使用许可证（甲类）及无线广播电视发射设备（不含小功率无线广播电视发射设备）订购证明核发</w:t>
            </w:r>
          </w:p>
        </w:tc>
        <w:tc>
          <w:tcPr>
            <w:tcW w:w="2145" w:type="dxa"/>
            <w:noWrap w:val="0"/>
            <w:vAlign w:val="center"/>
          </w:tcPr>
          <w:p w14:paraId="4269A44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597B70A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《广播电视无线传输覆盖网管理办法》（国家广播电影电视总局令第45号，2004年） 《国务院关于修改国务院对确需保留的行政审批项目设定行政许可</w:t>
            </w:r>
            <w:r>
              <w:rPr>
                <w:rFonts w:hint="eastAsia" w:ascii="仿宋_GB2312" w:hAnsi="Times New Roman" w:eastAsia="仿宋_GB2312"/>
                <w:color w:val="FF0000"/>
                <w:sz w:val="18"/>
                <w:szCs w:val="18"/>
                <w:lang w:eastAsia="zh-CN"/>
              </w:rPr>
              <w:t>的决定</w:t>
            </w:r>
            <w:r>
              <w:rPr>
                <w:rFonts w:hint="eastAsia" w:ascii="仿宋_GB2312" w:hAnsi="Times New Roman" w:eastAsia="仿宋_GB2312"/>
                <w:color w:val="FF0000"/>
                <w:sz w:val="18"/>
                <w:szCs w:val="18"/>
              </w:rPr>
              <w:t>》 《广播电视管理条例》</w:t>
            </w:r>
          </w:p>
        </w:tc>
        <w:tc>
          <w:tcPr>
            <w:tcW w:w="1366" w:type="dxa"/>
            <w:noWrap w:val="0"/>
            <w:vAlign w:val="center"/>
          </w:tcPr>
          <w:p w14:paraId="3C33A12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7AA25664">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02B98BA1">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03C3269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6F82231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23A9631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6C531CA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1572960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38D543A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3AB32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0865584">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15</w:t>
            </w:r>
          </w:p>
        </w:tc>
        <w:tc>
          <w:tcPr>
            <w:tcW w:w="734" w:type="dxa"/>
            <w:noWrap w:val="0"/>
            <w:vAlign w:val="center"/>
          </w:tcPr>
          <w:p w14:paraId="3B9CF58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5A67615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设置卫星地面接收设施许可</w:t>
            </w:r>
          </w:p>
        </w:tc>
        <w:tc>
          <w:tcPr>
            <w:tcW w:w="2145" w:type="dxa"/>
            <w:noWrap w:val="0"/>
            <w:vAlign w:val="center"/>
          </w:tcPr>
          <w:p w14:paraId="4E45CCB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1605917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《卫星电视广播地面接收设施管理规定》</w:t>
            </w:r>
          </w:p>
        </w:tc>
        <w:tc>
          <w:tcPr>
            <w:tcW w:w="1366" w:type="dxa"/>
            <w:noWrap w:val="0"/>
            <w:vAlign w:val="center"/>
          </w:tcPr>
          <w:p w14:paraId="08A16F7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244888F2">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3B38E1DF">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5324DDC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2CF3EDD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0D850E0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45CEDED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7EF3805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1B512F2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67D8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FD4AE0A">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16</w:t>
            </w:r>
          </w:p>
        </w:tc>
        <w:tc>
          <w:tcPr>
            <w:tcW w:w="734" w:type="dxa"/>
            <w:noWrap w:val="0"/>
            <w:vAlign w:val="center"/>
          </w:tcPr>
          <w:p w14:paraId="1C7B481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51A45E1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信息网络传播视听节目许可证核发</w:t>
            </w:r>
          </w:p>
        </w:tc>
        <w:tc>
          <w:tcPr>
            <w:tcW w:w="2145" w:type="dxa"/>
            <w:noWrap w:val="0"/>
            <w:vAlign w:val="center"/>
          </w:tcPr>
          <w:p w14:paraId="20B8137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7A57EB3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《国务院对确需保留的行政审批项目设定行政许可的决定》（国务院令第412号，2004年）</w:t>
            </w:r>
          </w:p>
        </w:tc>
        <w:tc>
          <w:tcPr>
            <w:tcW w:w="1366" w:type="dxa"/>
            <w:noWrap w:val="0"/>
            <w:vAlign w:val="center"/>
          </w:tcPr>
          <w:p w14:paraId="2DF755E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12D3BB55">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4B0B3176">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CA4034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6AE232E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3380904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3EC15B5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672ED9B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56D3724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DDD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72B9C62">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17</w:t>
            </w:r>
          </w:p>
        </w:tc>
        <w:tc>
          <w:tcPr>
            <w:tcW w:w="734" w:type="dxa"/>
            <w:noWrap w:val="0"/>
            <w:vAlign w:val="center"/>
          </w:tcPr>
          <w:p w14:paraId="6DD803C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7D03E7E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迁建广播电视设施审核</w:t>
            </w:r>
          </w:p>
        </w:tc>
        <w:tc>
          <w:tcPr>
            <w:tcW w:w="2145" w:type="dxa"/>
            <w:noWrap w:val="0"/>
            <w:vAlign w:val="center"/>
          </w:tcPr>
          <w:p w14:paraId="14896B9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64948CB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0"/>
            <w:vAlign w:val="center"/>
          </w:tcPr>
          <w:p w14:paraId="2504396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74A43C0A">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7FEB7834">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6C5FAE8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42AD30C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588D712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0BB9327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18B6A5E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187B7D8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55DF8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D23EFB1">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18</w:t>
            </w:r>
          </w:p>
        </w:tc>
        <w:tc>
          <w:tcPr>
            <w:tcW w:w="734" w:type="dxa"/>
            <w:noWrap w:val="0"/>
            <w:vAlign w:val="center"/>
          </w:tcPr>
          <w:p w14:paraId="6A66668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0979B4C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广播电台、电视台（含分台、教育电视台、付费频道）设立、终止及广播电台、电视台变更台名、台标、节目设置范围或节目套数和跨地区经营审批</w:t>
            </w:r>
          </w:p>
        </w:tc>
        <w:tc>
          <w:tcPr>
            <w:tcW w:w="2145" w:type="dxa"/>
            <w:noWrap w:val="0"/>
            <w:vAlign w:val="center"/>
          </w:tcPr>
          <w:p w14:paraId="1C28E90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E9197B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《广播电视管理条例》</w:t>
            </w:r>
          </w:p>
        </w:tc>
        <w:tc>
          <w:tcPr>
            <w:tcW w:w="1366" w:type="dxa"/>
            <w:noWrap w:val="0"/>
            <w:vAlign w:val="center"/>
          </w:tcPr>
          <w:p w14:paraId="568F36D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1CDF68DA">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4D29788C">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AE5A27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519E994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625355A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5BE3617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0A240FE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56AADD9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0F3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49F7596">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19</w:t>
            </w:r>
          </w:p>
        </w:tc>
        <w:tc>
          <w:tcPr>
            <w:tcW w:w="734" w:type="dxa"/>
            <w:noWrap w:val="0"/>
            <w:vAlign w:val="center"/>
          </w:tcPr>
          <w:p w14:paraId="7B203C1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35E96C8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广播电视节目、电视剧制作及广播电视视频点播业务许可证（乙种）核发</w:t>
            </w:r>
          </w:p>
        </w:tc>
        <w:tc>
          <w:tcPr>
            <w:tcW w:w="2145" w:type="dxa"/>
            <w:noWrap w:val="0"/>
            <w:vAlign w:val="center"/>
          </w:tcPr>
          <w:p w14:paraId="570EF27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5AE0E03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《广播电视管理条例》 《国务院对确需保留的行政审批项目设定行政许可的决定》（2004年国务院令第412号）</w:t>
            </w:r>
          </w:p>
        </w:tc>
        <w:tc>
          <w:tcPr>
            <w:tcW w:w="1366" w:type="dxa"/>
            <w:noWrap w:val="0"/>
            <w:vAlign w:val="center"/>
          </w:tcPr>
          <w:p w14:paraId="7F1FBDD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48F15D4B">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19D4911F">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3055C0B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6437A9B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3E4EBDE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12C83C0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79B056D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27B3EE3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570A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A886981">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20</w:t>
            </w:r>
          </w:p>
        </w:tc>
        <w:tc>
          <w:tcPr>
            <w:tcW w:w="734" w:type="dxa"/>
            <w:noWrap w:val="0"/>
            <w:vAlign w:val="center"/>
          </w:tcPr>
          <w:p w14:paraId="777A5AF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17361BB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电影放映单位许可</w:t>
            </w:r>
          </w:p>
        </w:tc>
        <w:tc>
          <w:tcPr>
            <w:tcW w:w="2145" w:type="dxa"/>
            <w:noWrap w:val="0"/>
            <w:vAlign w:val="center"/>
          </w:tcPr>
          <w:p w14:paraId="0EDA0AC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740CAE2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《电影管理条例》 《国务院关于第六批取消和调整行政审批项目的决定》</w:t>
            </w:r>
          </w:p>
        </w:tc>
        <w:tc>
          <w:tcPr>
            <w:tcW w:w="1366" w:type="dxa"/>
            <w:noWrap w:val="0"/>
            <w:vAlign w:val="center"/>
          </w:tcPr>
          <w:p w14:paraId="4CD685A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3709C14C">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18574328">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3803BB7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286E610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255715B4">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2D89CC8C">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3842BEF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56A78D0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0DD0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E225B5D">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21</w:t>
            </w:r>
          </w:p>
        </w:tc>
        <w:tc>
          <w:tcPr>
            <w:tcW w:w="734" w:type="dxa"/>
            <w:noWrap w:val="0"/>
            <w:vAlign w:val="center"/>
          </w:tcPr>
          <w:p w14:paraId="4DB9834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398BDD2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从事包装装潢印刷品和其他印刷品印刷经营活动的企业设立、变更许可</w:t>
            </w:r>
          </w:p>
        </w:tc>
        <w:tc>
          <w:tcPr>
            <w:tcW w:w="2145" w:type="dxa"/>
            <w:noWrap w:val="0"/>
            <w:vAlign w:val="center"/>
          </w:tcPr>
          <w:p w14:paraId="7506CE8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124AC08E">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《印刷业管理条例》（国务院令第676号，2017年） 《国务院关于第六批取消和调整行政审批项目的决定》（国发2012）52号</w:t>
            </w:r>
          </w:p>
        </w:tc>
        <w:tc>
          <w:tcPr>
            <w:tcW w:w="1366" w:type="dxa"/>
            <w:noWrap w:val="0"/>
            <w:vAlign w:val="center"/>
          </w:tcPr>
          <w:p w14:paraId="2DA3880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748F225D">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6F97E050">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745B944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1886D959">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44F581A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5116E94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0EDABB1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156E031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74B5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75013B2">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22</w:t>
            </w:r>
          </w:p>
        </w:tc>
        <w:tc>
          <w:tcPr>
            <w:tcW w:w="734" w:type="dxa"/>
            <w:noWrap w:val="0"/>
            <w:vAlign w:val="center"/>
          </w:tcPr>
          <w:p w14:paraId="4B703F5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784536B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出版物零售单位设立、变更许可</w:t>
            </w:r>
          </w:p>
        </w:tc>
        <w:tc>
          <w:tcPr>
            <w:tcW w:w="2145" w:type="dxa"/>
            <w:noWrap w:val="0"/>
            <w:vAlign w:val="center"/>
          </w:tcPr>
          <w:p w14:paraId="1BB877E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20FA644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《出版管理条例》（国务院令第653号，2016年修订）</w:t>
            </w:r>
          </w:p>
        </w:tc>
        <w:tc>
          <w:tcPr>
            <w:tcW w:w="1366" w:type="dxa"/>
            <w:noWrap w:val="0"/>
            <w:vAlign w:val="center"/>
          </w:tcPr>
          <w:p w14:paraId="6268FEC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604D713F">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0B48DA69">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551EA41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136F4F8F">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0415639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7A160708">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59CC6CAB">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004C74B5">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14:paraId="0E14B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19B338D">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23</w:t>
            </w:r>
          </w:p>
        </w:tc>
        <w:tc>
          <w:tcPr>
            <w:tcW w:w="734" w:type="dxa"/>
            <w:noWrap w:val="0"/>
            <w:vAlign w:val="center"/>
          </w:tcPr>
          <w:p w14:paraId="5D4B6A7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14:paraId="20BC8E2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设立旅行社许可（市级权限委托实施）</w:t>
            </w:r>
          </w:p>
        </w:tc>
        <w:tc>
          <w:tcPr>
            <w:tcW w:w="2145" w:type="dxa"/>
            <w:noWrap w:val="0"/>
            <w:vAlign w:val="center"/>
          </w:tcPr>
          <w:p w14:paraId="0D0100C7">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14:paraId="5B7A3020">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《中华人民共和国旅游法》（2013年） 《旅行社条例》（国务院令第550号，2016年修改） 《旅行社条例实施细则》（</w:t>
            </w:r>
            <w:r>
              <w:rPr>
                <w:rFonts w:hint="eastAsia" w:ascii="仿宋_GB2312" w:hAnsi="Times New Roman" w:eastAsia="仿宋_GB2312"/>
                <w:color w:val="FF0000"/>
                <w:sz w:val="18"/>
                <w:szCs w:val="18"/>
                <w:lang w:eastAsia="zh-CN"/>
              </w:rPr>
              <w:t>国家旅游局</w:t>
            </w:r>
            <w:r>
              <w:rPr>
                <w:rFonts w:hint="eastAsia" w:ascii="仿宋_GB2312" w:hAnsi="Times New Roman" w:eastAsia="仿宋_GB2312"/>
                <w:color w:val="FF0000"/>
                <w:sz w:val="18"/>
                <w:szCs w:val="18"/>
              </w:rPr>
              <w:t>第30号令，2016年修改）</w:t>
            </w:r>
          </w:p>
        </w:tc>
        <w:tc>
          <w:tcPr>
            <w:tcW w:w="1366" w:type="dxa"/>
            <w:noWrap w:val="0"/>
            <w:vAlign w:val="center"/>
          </w:tcPr>
          <w:p w14:paraId="47EDCC9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14:paraId="2C493179">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14:paraId="3982F2AE">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14:paraId="33807113">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14:paraId="4DD8BCC1">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14:paraId="5D6F6212">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14:paraId="4BC8E53A">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14:paraId="5408D116">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14:paraId="60F2A56D">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bl>
    <w:p w14:paraId="25AD76C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D22D0"/>
    <w:rsid w:val="26B61999"/>
    <w:rsid w:val="2C454DA1"/>
    <w:rsid w:val="76F5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3408</Words>
  <Characters>3612</Characters>
  <Lines>0</Lines>
  <Paragraphs>0</Paragraphs>
  <TotalTime>1</TotalTime>
  <ScaleCrop>false</ScaleCrop>
  <LinksUpToDate>false</LinksUpToDate>
  <CharactersWithSpaces>3740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2025-05-09T07:28:07Z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F76E256F418E452EA348B31747C08ACE_12</vt:lpwstr>
  </property>
</Properties>
</file>