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保障性住房领域基层政务公开标准目录</w:t>
      </w:r>
    </w:p>
    <w:tbl>
      <w:tblPr>
        <w:tblStyle w:val="3"/>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800"/>
        <w:gridCol w:w="3600"/>
        <w:gridCol w:w="1080"/>
        <w:gridCol w:w="1080"/>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shd w:val="clear" w:color="auto" w:fill="auto"/>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6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24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vAlign w:val="center"/>
          </w:tcPr>
          <w:p>
            <w:pPr>
              <w:widowControl/>
              <w:jc w:val="left"/>
              <w:rPr>
                <w:rFonts w:ascii="Times New Roman" w:hAnsi="Times New Roman"/>
                <w:color w:val="000000"/>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vAlign w:val="center"/>
          </w:tcPr>
          <w:p>
            <w:pPr>
              <w:widowControl/>
              <w:jc w:val="left"/>
              <w:rPr>
                <w:rFonts w:ascii="黑体" w:hAnsi="宋体" w:eastAsia="黑体" w:cs="宋体"/>
                <w:color w:val="000000"/>
                <w:kern w:val="0"/>
                <w:sz w:val="22"/>
              </w:rPr>
            </w:pPr>
          </w:p>
        </w:tc>
        <w:tc>
          <w:tcPr>
            <w:tcW w:w="360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246"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法规政策</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法律法规</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文件名称；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文号；</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发布部门；</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实施日期；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正文。</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信息获取（形成、变更）20个工作日内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人民政府、住房保障行政主管部门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政策文件</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文件名称；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文号；</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发布部门；</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实施日期；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正文。</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重大决策</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决策前</w:t>
            </w:r>
            <w:r>
              <w:rPr>
                <w:rFonts w:hint="eastAsia" w:ascii="仿宋_GB2312" w:hAnsi="宋体" w:eastAsia="仿宋_GB2312"/>
                <w:color w:val="FF0000"/>
                <w:sz w:val="18"/>
                <w:szCs w:val="18"/>
              </w:rPr>
              <w:br w:type="page"/>
            </w:r>
            <w:r>
              <w:rPr>
                <w:rFonts w:hint="eastAsia" w:ascii="仿宋_GB2312" w:hAnsi="宋体" w:eastAsia="仿宋_GB2312"/>
                <w:color w:val="FF0000"/>
                <w:sz w:val="18"/>
                <w:szCs w:val="18"/>
              </w:rPr>
              <w:t>预公开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决策公开制度；</w:t>
            </w:r>
          </w:p>
          <w:p>
            <w:pPr>
              <w:rPr>
                <w:rFonts w:ascii="仿宋_GB2312" w:hAnsi="宋体" w:eastAsia="仿宋_GB2312"/>
                <w:color w:val="FF0000"/>
                <w:sz w:val="18"/>
                <w:szCs w:val="18"/>
              </w:rPr>
            </w:pPr>
            <w:r>
              <w:rPr>
                <w:rFonts w:hint="eastAsia" w:ascii="仿宋_GB2312" w:hAnsi="宋体" w:eastAsia="仿宋_GB2312"/>
                <w:color w:val="FF0000"/>
                <w:sz w:val="18"/>
                <w:szCs w:val="18"/>
              </w:rPr>
              <w:t>意见征集。</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《政府信息公开条例》、《中共中央办公厅国务院办公厅印发〈关于全面推进政务公开工作的意见〉的通知》、《国务院办公厅印发〈关于全面推进政务公开工作的意见〉实施细则的通知》</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p>
            <w:pPr>
              <w:rPr>
                <w:rFonts w:ascii="仿宋_GB2312" w:hAnsi="宋体" w:eastAsia="仿宋_GB2312"/>
                <w:color w:val="FF0000"/>
                <w:sz w:val="18"/>
                <w:szCs w:val="18"/>
              </w:rPr>
            </w:pP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决策会议公开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会议名称；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会议时间地点；</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会议结果。</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决策结果公开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保障性住房领域方案、公示公告、通知等。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规划计划</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中长期规划</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保障性住房专项规划。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年度计划</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年度建设计划任务量：开工套数、基本建成套数；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年度计划项目：项目名称、建设地点、总建筑面积、住宅面积、计划开工时间、计划竣工时间。</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8</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建设管理</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立项信息</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项目名称；建设地点；投资金额；计划安排。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开工项目清单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项目名称；建设地址；建设方式；建设总套数；开工时间；年度计划开工套数、实际开工套数；年度计划基本建成套数；建设、设计、施工和监理单位名称等。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基本建成项目清单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项目名称；建设地址；建设单位；竣工套数；竣工时间等。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11</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竣工项目清单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项目名称；建设地址；建设单位；竣工套数；竣工时间等。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配套设施建设情况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项目名称；建设地址；建设方式；开工时间；建设、设计、施工和监理单位名称等。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配给管理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保障性住房申请受理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申请受理公告；</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申请条件、程序、期限和所需材料；</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租赁补贴发放计划。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公租房承租资格审核</w:t>
            </w:r>
          </w:p>
        </w:tc>
        <w:tc>
          <w:tcPr>
            <w:tcW w:w="18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申请受理；</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审核结果：申请对象姓名、身份证号(隐藏部分号码)、申请房源类型；</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公租房租赁补贴或租金减免审批</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16</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经济适用住房购买资格审核</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17</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配给管理</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房源信息</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项目名称；保障性住房类型；竣工日期；地址；住房套数；待分配套数；已分配套数；套型；面积；配租配售价格；分配日期等。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选房或摇号公告</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公告名称；发布部门；发布日期；正文，包括时间、地点、流程、注意事项等。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p>
            <w:pPr>
              <w:rPr>
                <w:rFonts w:ascii="仿宋_GB2312" w:hAnsi="宋体" w:eastAsia="仿宋_GB2312"/>
                <w:color w:val="FF0000"/>
                <w:sz w:val="18"/>
                <w:szCs w:val="18"/>
              </w:rPr>
            </w:pP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分配结果</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保障对象姓名；保障性住房类型；房号、面积、套型；所在建设项目名称等。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办理配租配售公告</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公告名称；发布部门；发布日期；正文，包括时间、地点、流程、注意事项等。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21</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公租房资格定期审核</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年审或定期审核家庭信息，含保障对象编号、姓名、身份证号﹝隐藏部分号码﹞；配租房源；套型；面积；是否审核通过；未通过原因等。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《公共租赁住房管理办法》、《国务院办公厅关于推进公共资源配置领域政府信息公开的意见》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自愿退出</w:t>
            </w:r>
          </w:p>
        </w:tc>
        <w:tc>
          <w:tcPr>
            <w:tcW w:w="18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原保障对象姓名、身份证号（隐藏部分号码）；原租购项目名称、地址、类型、套型、面积等；原享受补贴面积、标准等。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23</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到期退出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不符合条件退出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违规处罚退出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租赁补贴发放</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保障对象姓名、身份证号（隐藏部分号码）；发放金额；发放年度、月份、日期；发放方式。</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租金收取</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保障对象姓名、身份证号（隐藏部分号码）；应缴租金；实收租金；未足额收取原因；租金年度、月份；收取日期；收取方式。</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租金减免</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保障对象姓名、身份证号（隐藏部分号码）；保障项目名称、类型、套型、面积；原应缴租金标准、现应缴租金标准。</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                                      ■天津市住房保障管理中心公众号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腾退管理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腾退对象；腾退日期；腾退原因；实退租金。</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房屋维修</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维修内容；维修标准；维修资金来源渠道；维修单位名称；联系人，联系方式。</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31</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保障性住房调整</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保障对象姓名、身份证号（隐藏部分号码）；调整前和调整后保障项目名称、类型、套型、面积等；不予调整原因。</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32</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运营承接主体管理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单位名称；获取运营资格方式；运营承接主体统一社会信用代码；负责人姓名；办公地址、联系电话；注册资金；服务范围；监督考核情况等。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办事指南</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申请保障</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申请条件；申请所需材料及范本；申请流程和办理时限；申请受理（办理）机构；受理地点；咨询电话、监督电话等。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《关于全面推进政务公开工作的意见》、《国务院关于加快推进“互联网+政务服务”工作的指导意见》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合同备案</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合同范本；备案机构；受理地点；咨询电话等。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申请租金减免</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申请所需材料及范本；申请流程和办理时限；申请受理（办理）机构；受理地点；咨询电话、监督电话等。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办事指南</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缴纳租金</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租金标准；缴纳方式、时限；受理（办理）机构；咨询电话、监督电话等。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《关于全面推进政务公开工作的意见》、《国务院关于加快推进“互联网+政务服务”工作的指导意见》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保障性住房调换</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申请所需材料及范本；申请方式、流程；申请受理（办理）机构；受理地点；咨询电话、监督电话等。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自愿退出</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申请所需材料及范本；申请方式、流程；申请受理（办理）机构；受理地点；咨询电话、监督电话等。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39</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政策解读</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本级政策解读</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解读主体；解读内容；解读方式；解读时间等。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40</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回应关切</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主动回应</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公众提出的意见建议及回复情况；公开突发事件应对情况等。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41</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回应关切</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互动回应</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在收集分析研判舆情的基础上，针对舆论关注的焦点、热点和关键问题的互动回应内容。</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42</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评价结果</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上级评价、表彰情况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上级对本地区保障性住房领域年度工作完成情况的评价、通报、排名；获上级表彰、入围上级推广示范情况等。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43</w:t>
            </w:r>
          </w:p>
        </w:tc>
        <w:tc>
          <w:tcPr>
            <w:tcW w:w="720" w:type="dxa"/>
            <w:vMerge w:val="continue"/>
            <w:shd w:val="clear" w:color="auto" w:fill="auto"/>
            <w:vAlign w:val="center"/>
          </w:tcPr>
          <w:p>
            <w:pP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社会评价情况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公众对保障性住房工作满意度评价。</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default" w:ascii="仿宋_GB2312" w:hAnsi="宋体" w:eastAsia="仿宋_GB2312"/>
                <w:color w:val="00B050"/>
                <w:sz w:val="18"/>
                <w:szCs w:val="18"/>
                <w:lang w:val="en-US" w:eastAsia="zh-CN"/>
              </w:rPr>
            </w:pPr>
            <w:r>
              <w:rPr>
                <w:rFonts w:hint="eastAsia" w:ascii="仿宋_GB2312" w:hAnsi="宋体" w:eastAsia="仿宋_GB2312"/>
                <w:color w:val="00B050"/>
                <w:sz w:val="18"/>
                <w:szCs w:val="18"/>
                <w:lang w:val="en-US" w:eastAsia="zh-CN"/>
              </w:rPr>
              <w:t>44</w:t>
            </w:r>
          </w:p>
        </w:tc>
        <w:tc>
          <w:tcPr>
            <w:tcW w:w="720" w:type="dxa"/>
            <w:vMerge w:val="restart"/>
            <w:shd w:val="clear" w:color="auto" w:fill="auto"/>
            <w:vAlign w:val="center"/>
          </w:tcPr>
          <w:p>
            <w:pPr>
              <w:rPr>
                <w:rFonts w:hint="eastAsia" w:ascii="仿宋_GB2312" w:hAnsi="宋体" w:eastAsia="仿宋_GB2312"/>
                <w:color w:val="00B050"/>
                <w:sz w:val="18"/>
                <w:szCs w:val="18"/>
                <w:lang w:eastAsia="zh-CN"/>
              </w:rPr>
            </w:pPr>
            <w:r>
              <w:rPr>
                <w:rFonts w:hint="eastAsia" w:ascii="仿宋_GB2312" w:hAnsi="宋体" w:eastAsia="仿宋_GB2312"/>
                <w:color w:val="00B050"/>
                <w:sz w:val="18"/>
                <w:szCs w:val="18"/>
                <w:lang w:eastAsia="zh-CN"/>
              </w:rPr>
              <w:t>行政确认</w:t>
            </w:r>
          </w:p>
        </w:tc>
        <w:tc>
          <w:tcPr>
            <w:tcW w:w="1274" w:type="dxa"/>
            <w:shd w:val="clear" w:color="auto" w:fill="auto"/>
            <w:vAlign w:val="center"/>
          </w:tcPr>
          <w:p>
            <w:pPr>
              <w:rPr>
                <w:rFonts w:hint="eastAsia" w:ascii="仿宋_GB2312" w:hAnsi="宋体" w:eastAsia="仿宋_GB2312"/>
                <w:color w:val="00B050"/>
                <w:sz w:val="18"/>
                <w:szCs w:val="18"/>
              </w:rPr>
            </w:pPr>
            <w:r>
              <w:rPr>
                <w:rFonts w:hint="eastAsia" w:ascii="仿宋_GB2312" w:hAnsi="宋体" w:eastAsia="仿宋_GB2312"/>
                <w:color w:val="00B050"/>
                <w:sz w:val="18"/>
                <w:szCs w:val="18"/>
              </w:rPr>
              <w:t>对申请保障性住房或住房租赁补贴的审核</w:t>
            </w:r>
          </w:p>
        </w:tc>
        <w:tc>
          <w:tcPr>
            <w:tcW w:w="1800" w:type="dxa"/>
            <w:vAlign w:val="center"/>
          </w:tcPr>
          <w:p>
            <w:pPr>
              <w:rPr>
                <w:rFonts w:hint="eastAsia" w:ascii="仿宋_GB2312" w:hAnsi="宋体" w:eastAsia="仿宋_GB2312"/>
                <w:color w:val="00B050"/>
                <w:sz w:val="18"/>
                <w:szCs w:val="18"/>
              </w:rPr>
            </w:pPr>
            <w:r>
              <w:rPr>
                <w:rFonts w:hint="eastAsia" w:ascii="仿宋_GB2312" w:hAnsi="宋体" w:eastAsia="仿宋_GB2312"/>
                <w:color w:val="00B050"/>
                <w:sz w:val="18"/>
                <w:szCs w:val="18"/>
              </w:rPr>
              <w:t>申请所需材料及范本；申请方式、流程；申请受理（办理）机构；受理地点；咨询电话、监督电话等。</w:t>
            </w:r>
          </w:p>
        </w:tc>
        <w:tc>
          <w:tcPr>
            <w:tcW w:w="3600" w:type="dxa"/>
            <w:vAlign w:val="center"/>
          </w:tcPr>
          <w:p>
            <w:pPr>
              <w:rPr>
                <w:rFonts w:ascii="仿宋_GB2312" w:hAnsi="宋体" w:eastAsia="仿宋_GB2312"/>
                <w:color w:val="00B050"/>
                <w:sz w:val="18"/>
                <w:szCs w:val="18"/>
              </w:rPr>
            </w:pPr>
            <w:r>
              <w:rPr>
                <w:rFonts w:hint="eastAsia" w:ascii="仿宋_GB2312" w:hAnsi="宋体" w:eastAsia="仿宋_GB2312"/>
                <w:color w:val="00B050"/>
                <w:sz w:val="18"/>
                <w:szCs w:val="18"/>
              </w:rPr>
              <w:t>《关于全面推进政务公开工作的意见》</w:t>
            </w:r>
            <w:r>
              <w:rPr>
                <w:rFonts w:hint="eastAsia" w:ascii="仿宋_GB2312" w:hAnsi="宋体" w:eastAsia="仿宋_GB2312"/>
                <w:color w:val="00B050"/>
                <w:sz w:val="18"/>
                <w:szCs w:val="18"/>
                <w:lang w:eastAsia="zh-CN"/>
              </w:rPr>
              <w:t>、</w:t>
            </w:r>
            <w:r>
              <w:rPr>
                <w:rFonts w:hint="eastAsia" w:ascii="仿宋_GB2312" w:hAnsi="宋体" w:eastAsia="仿宋_GB2312"/>
                <w:color w:val="00B050"/>
                <w:sz w:val="18"/>
                <w:szCs w:val="18"/>
              </w:rPr>
              <w:t>《天津市基本住房保障管理办法》</w:t>
            </w:r>
          </w:p>
        </w:tc>
        <w:tc>
          <w:tcPr>
            <w:tcW w:w="1080" w:type="dxa"/>
            <w:vAlign w:val="center"/>
          </w:tcPr>
          <w:p>
            <w:pP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信息形成（变更）20个工作日内</w:t>
            </w:r>
          </w:p>
        </w:tc>
        <w:tc>
          <w:tcPr>
            <w:tcW w:w="1080" w:type="dxa"/>
            <w:vAlign w:val="center"/>
          </w:tcPr>
          <w:p>
            <w:pPr>
              <w:rPr>
                <w:rFonts w:hint="eastAsia"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lang w:eastAsia="zh-CN"/>
              </w:rPr>
              <w:t>牛家牌镇人民政府</w:t>
            </w:r>
          </w:p>
        </w:tc>
        <w:tc>
          <w:tcPr>
            <w:tcW w:w="1246" w:type="dxa"/>
            <w:vAlign w:val="center"/>
          </w:tcPr>
          <w:p>
            <w:pP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w:t>
            </w:r>
            <w:r>
              <w:rPr>
                <w:rFonts w:hint="eastAsia" w:ascii="仿宋_GB2312" w:hAnsi="宋体" w:eastAsia="仿宋_GB2312"/>
                <w:color w:val="00B050"/>
                <w:sz w:val="18"/>
                <w:szCs w:val="18"/>
                <w:lang w:eastAsia="zh-CN"/>
              </w:rPr>
              <w:t>政府网站</w:t>
            </w:r>
            <w:r>
              <w:rPr>
                <w:rFonts w:hint="eastAsia" w:ascii="仿宋_GB2312" w:hAnsi="宋体" w:eastAsia="仿宋_GB2312"/>
                <w:color w:val="00B050"/>
                <w:sz w:val="18"/>
                <w:szCs w:val="18"/>
              </w:rPr>
              <w:t xml:space="preserve">   </w:t>
            </w:r>
            <w:r>
              <w:rPr>
                <w:rFonts w:hint="eastAsia" w:ascii="仿宋_GB2312" w:hAnsi="宋体" w:eastAsia="仿宋_GB2312"/>
                <w:color w:val="00B050"/>
                <w:sz w:val="18"/>
                <w:szCs w:val="18"/>
              </w:rPr>
              <w:br w:type="textWrapping"/>
            </w:r>
          </w:p>
        </w:tc>
        <w:tc>
          <w:tcPr>
            <w:tcW w:w="720"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w:t>
            </w:r>
          </w:p>
        </w:tc>
        <w:tc>
          <w:tcPr>
            <w:tcW w:w="709"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　</w:t>
            </w:r>
          </w:p>
        </w:tc>
        <w:tc>
          <w:tcPr>
            <w:tcW w:w="551"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w:t>
            </w:r>
          </w:p>
        </w:tc>
        <w:tc>
          <w:tcPr>
            <w:tcW w:w="720"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　</w:t>
            </w:r>
          </w:p>
        </w:tc>
        <w:tc>
          <w:tcPr>
            <w:tcW w:w="720"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p>
        </w:tc>
        <w:tc>
          <w:tcPr>
            <w:tcW w:w="720"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default" w:ascii="仿宋_GB2312" w:hAnsi="宋体" w:eastAsia="仿宋_GB2312"/>
                <w:color w:val="00B050"/>
                <w:sz w:val="18"/>
                <w:szCs w:val="18"/>
                <w:lang w:val="en-US" w:eastAsia="zh-CN"/>
              </w:rPr>
            </w:pPr>
            <w:r>
              <w:rPr>
                <w:rFonts w:hint="eastAsia" w:ascii="仿宋_GB2312" w:hAnsi="宋体" w:eastAsia="仿宋_GB2312"/>
                <w:color w:val="00B050"/>
                <w:sz w:val="18"/>
                <w:szCs w:val="18"/>
                <w:lang w:val="en-US" w:eastAsia="zh-CN"/>
              </w:rPr>
              <w:t>45</w:t>
            </w:r>
          </w:p>
        </w:tc>
        <w:tc>
          <w:tcPr>
            <w:tcW w:w="720" w:type="dxa"/>
            <w:vMerge w:val="continue"/>
            <w:shd w:val="clear" w:color="auto" w:fill="auto"/>
            <w:vAlign w:val="center"/>
          </w:tcPr>
          <w:p>
            <w:pPr>
              <w:rPr>
                <w:rFonts w:ascii="仿宋_GB2312" w:hAnsi="宋体" w:eastAsia="仿宋_GB2312"/>
                <w:color w:val="00B050"/>
                <w:sz w:val="18"/>
                <w:szCs w:val="18"/>
              </w:rPr>
            </w:pPr>
          </w:p>
        </w:tc>
        <w:tc>
          <w:tcPr>
            <w:tcW w:w="1274" w:type="dxa"/>
            <w:shd w:val="clear" w:color="auto" w:fill="auto"/>
            <w:vAlign w:val="center"/>
          </w:tcPr>
          <w:p>
            <w:pPr>
              <w:rPr>
                <w:rFonts w:hint="eastAsia" w:ascii="仿宋_GB2312" w:hAnsi="宋体" w:eastAsia="仿宋_GB2312"/>
                <w:color w:val="00B050"/>
                <w:sz w:val="18"/>
                <w:szCs w:val="18"/>
              </w:rPr>
            </w:pPr>
            <w:r>
              <w:rPr>
                <w:rFonts w:hint="eastAsia" w:ascii="仿宋_GB2312" w:hAnsi="宋体" w:eastAsia="仿宋_GB2312"/>
                <w:color w:val="00B050"/>
                <w:sz w:val="18"/>
                <w:szCs w:val="18"/>
              </w:rPr>
              <w:t>对已领取租赁住房补贴或者配租廉租房住房的城市低收入住房困难家庭信息的审核</w:t>
            </w:r>
          </w:p>
        </w:tc>
        <w:tc>
          <w:tcPr>
            <w:tcW w:w="1800" w:type="dxa"/>
            <w:vAlign w:val="center"/>
          </w:tcPr>
          <w:p>
            <w:pPr>
              <w:rPr>
                <w:rFonts w:hint="eastAsia" w:ascii="仿宋_GB2312" w:hAnsi="宋体" w:eastAsia="仿宋_GB2312"/>
                <w:color w:val="00B050"/>
                <w:sz w:val="18"/>
                <w:szCs w:val="18"/>
              </w:rPr>
            </w:pPr>
            <w:r>
              <w:rPr>
                <w:rFonts w:hint="eastAsia" w:ascii="仿宋_GB2312" w:hAnsi="宋体" w:eastAsia="仿宋_GB2312"/>
                <w:color w:val="00B050"/>
                <w:sz w:val="18"/>
                <w:szCs w:val="18"/>
              </w:rPr>
              <w:t>申请所需材料及范本；申请方式、流程；申请受理（办理）机构；受理地点；咨询电话、监督电话等。</w:t>
            </w:r>
          </w:p>
        </w:tc>
        <w:tc>
          <w:tcPr>
            <w:tcW w:w="3600" w:type="dxa"/>
            <w:vAlign w:val="center"/>
          </w:tcPr>
          <w:p>
            <w:pPr>
              <w:rPr>
                <w:rFonts w:hint="eastAsia" w:ascii="仿宋_GB2312" w:hAnsi="宋体" w:eastAsia="仿宋_GB2312"/>
                <w:color w:val="00B050"/>
                <w:sz w:val="18"/>
                <w:szCs w:val="18"/>
                <w:lang w:eastAsia="zh-CN"/>
              </w:rPr>
            </w:pPr>
            <w:r>
              <w:rPr>
                <w:rFonts w:hint="eastAsia" w:ascii="仿宋_GB2312" w:hAnsi="宋体" w:eastAsia="仿宋_GB2312"/>
                <w:color w:val="00B050"/>
                <w:sz w:val="18"/>
                <w:szCs w:val="18"/>
              </w:rPr>
              <w:t>《关于全面推进政务公开工作的意见》</w:t>
            </w:r>
            <w:r>
              <w:rPr>
                <w:rFonts w:hint="eastAsia" w:ascii="仿宋_GB2312" w:hAnsi="宋体" w:eastAsia="仿宋_GB2312"/>
                <w:color w:val="00B050"/>
                <w:sz w:val="18"/>
                <w:szCs w:val="18"/>
                <w:lang w:eastAsia="zh-CN"/>
              </w:rPr>
              <w:t>、</w:t>
            </w:r>
            <w:r>
              <w:rPr>
                <w:rFonts w:hint="eastAsia" w:ascii="仿宋_GB2312" w:hAnsi="宋体" w:eastAsia="仿宋_GB2312"/>
                <w:color w:val="00B050"/>
                <w:sz w:val="18"/>
                <w:szCs w:val="18"/>
              </w:rPr>
              <w:t>《天津市基本住房保障管理办法</w:t>
            </w:r>
            <w:r>
              <w:rPr>
                <w:rFonts w:hint="eastAsia" w:ascii="仿宋_GB2312" w:hAnsi="宋体" w:eastAsia="仿宋_GB2312"/>
                <w:color w:val="00B050"/>
                <w:sz w:val="18"/>
                <w:szCs w:val="18"/>
                <w:lang w:eastAsia="zh-CN"/>
              </w:rPr>
              <w:t>》、《廉租住房保障办法》</w:t>
            </w:r>
          </w:p>
        </w:tc>
        <w:tc>
          <w:tcPr>
            <w:tcW w:w="1080" w:type="dxa"/>
            <w:vAlign w:val="center"/>
          </w:tcPr>
          <w:p>
            <w:pP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信息形成（变更）20个工作日内</w:t>
            </w:r>
          </w:p>
        </w:tc>
        <w:tc>
          <w:tcPr>
            <w:tcW w:w="1080" w:type="dxa"/>
            <w:vAlign w:val="center"/>
          </w:tcPr>
          <w:p>
            <w:pPr>
              <w:rPr>
                <w:rFonts w:hint="eastAsia"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lang w:eastAsia="zh-CN"/>
              </w:rPr>
              <w:t>牛家牌镇人民政府</w:t>
            </w:r>
          </w:p>
        </w:tc>
        <w:tc>
          <w:tcPr>
            <w:tcW w:w="1246" w:type="dxa"/>
            <w:vAlign w:val="center"/>
          </w:tcPr>
          <w:p>
            <w:pP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w:t>
            </w:r>
            <w:r>
              <w:rPr>
                <w:rFonts w:hint="eastAsia" w:ascii="仿宋_GB2312" w:hAnsi="宋体" w:eastAsia="仿宋_GB2312"/>
                <w:color w:val="00B050"/>
                <w:sz w:val="18"/>
                <w:szCs w:val="18"/>
                <w:lang w:eastAsia="zh-CN"/>
              </w:rPr>
              <w:t>政府网站</w:t>
            </w:r>
            <w:r>
              <w:rPr>
                <w:rFonts w:hint="eastAsia" w:ascii="仿宋_GB2312" w:hAnsi="宋体" w:eastAsia="仿宋_GB2312"/>
                <w:color w:val="00B050"/>
                <w:sz w:val="18"/>
                <w:szCs w:val="18"/>
              </w:rPr>
              <w:t xml:space="preserve">   </w:t>
            </w:r>
            <w:r>
              <w:rPr>
                <w:rFonts w:hint="eastAsia" w:ascii="仿宋_GB2312" w:hAnsi="宋体" w:eastAsia="仿宋_GB2312"/>
                <w:color w:val="00B050"/>
                <w:sz w:val="18"/>
                <w:szCs w:val="18"/>
              </w:rPr>
              <w:br w:type="textWrapping"/>
            </w:r>
          </w:p>
        </w:tc>
        <w:tc>
          <w:tcPr>
            <w:tcW w:w="720"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w:t>
            </w:r>
          </w:p>
        </w:tc>
        <w:tc>
          <w:tcPr>
            <w:tcW w:w="709"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　</w:t>
            </w:r>
          </w:p>
        </w:tc>
        <w:tc>
          <w:tcPr>
            <w:tcW w:w="551"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w:t>
            </w:r>
          </w:p>
        </w:tc>
        <w:tc>
          <w:tcPr>
            <w:tcW w:w="720"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　</w:t>
            </w:r>
          </w:p>
        </w:tc>
        <w:tc>
          <w:tcPr>
            <w:tcW w:w="720"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p>
        </w:tc>
        <w:tc>
          <w:tcPr>
            <w:tcW w:w="720" w:type="dxa"/>
            <w:shd w:val="clear" w:color="auto" w:fill="auto"/>
            <w:vAlign w:val="center"/>
          </w:tcPr>
          <w:p>
            <w:pPr>
              <w:jc w:val="center"/>
              <w:rPr>
                <w:rFonts w:ascii="仿宋_GB2312" w:hAnsi="宋体" w:eastAsia="仿宋_GB2312" w:cs="Times New Roman"/>
                <w:color w:val="00B050"/>
                <w:kern w:val="2"/>
                <w:sz w:val="18"/>
                <w:szCs w:val="18"/>
                <w:lang w:val="en-US" w:eastAsia="zh-CN" w:bidi="ar-SA"/>
              </w:rPr>
            </w:pPr>
            <w:r>
              <w:rPr>
                <w:rFonts w:hint="eastAsia" w:ascii="仿宋_GB2312" w:hAnsi="宋体" w:eastAsia="仿宋_GB2312"/>
                <w:color w:val="00B050"/>
                <w:sz w:val="18"/>
                <w:szCs w:val="18"/>
              </w:rPr>
              <w:t>√</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A0CAF"/>
    <w:rsid w:val="052E40E4"/>
    <w:rsid w:val="289F1CE4"/>
    <w:rsid w:val="32062342"/>
    <w:rsid w:val="3B176D30"/>
    <w:rsid w:val="655A67C0"/>
    <w:rsid w:val="69A874A2"/>
    <w:rsid w:val="78616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云里雾里</cp:lastModifiedBy>
  <dcterms:modified xsi:type="dcterms:W3CDTF">2020-09-04T01:56:31Z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