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_GBK" w:hAnsi="方正小标宋_GBK" w:eastAsia="方正小标宋_GBK"/>
          <w:b w:val="0"/>
          <w:bCs w:val="0"/>
          <w:sz w:val="30"/>
        </w:rPr>
      </w:pPr>
      <w:bookmarkStart w:id="0" w:name="_Toc24724725"/>
      <w:r>
        <w:rPr>
          <w:rFonts w:hint="eastAsia" w:ascii="方正小标宋_GBK" w:hAnsi="方正小标宋_GBK" w:eastAsia="方正小标宋_GBK"/>
          <w:b w:val="0"/>
          <w:bCs w:val="0"/>
          <w:sz w:val="30"/>
        </w:rPr>
        <w:t>安全生产领域基层政务公开标准目录</w:t>
      </w:r>
      <w:bookmarkEnd w:id="0"/>
    </w:p>
    <w:tbl>
      <w:tblPr>
        <w:tblStyle w:val="3"/>
        <w:tblW w:w="16020" w:type="dxa"/>
        <w:tblInd w:w="-8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080"/>
        <w:gridCol w:w="2520"/>
        <w:gridCol w:w="2520"/>
        <w:gridCol w:w="1800"/>
        <w:gridCol w:w="900"/>
        <w:gridCol w:w="1496"/>
        <w:gridCol w:w="664"/>
        <w:gridCol w:w="720"/>
        <w:gridCol w:w="720"/>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40" w:type="dxa"/>
            <w:vMerge w:val="restart"/>
            <w:shd w:val="clear" w:color="auto" w:fill="auto"/>
            <w:noWrap w:val="0"/>
            <w:vAlign w:val="center"/>
          </w:tcPr>
          <w:p>
            <w:pPr>
              <w:widowControl/>
              <w:jc w:val="center"/>
              <w:rPr>
                <w:rFonts w:hint="eastAsia" w:ascii="仿宋_GB2312" w:hAnsi="Times New Roman" w:eastAsia="仿宋_GB2312"/>
                <w:color w:val="000000"/>
                <w:kern w:val="0"/>
                <w:sz w:val="18"/>
                <w:szCs w:val="18"/>
              </w:rPr>
            </w:pPr>
            <w:r>
              <w:rPr>
                <w:rFonts w:hint="eastAsia" w:ascii="黑体" w:hAnsi="宋体" w:eastAsia="黑体" w:cs="宋体"/>
                <w:color w:val="000000"/>
                <w:kern w:val="0"/>
                <w:sz w:val="22"/>
              </w:rPr>
              <w:t>序号</w:t>
            </w:r>
          </w:p>
        </w:tc>
        <w:tc>
          <w:tcPr>
            <w:tcW w:w="1980" w:type="dxa"/>
            <w:gridSpan w:val="2"/>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公开事项</w:t>
            </w:r>
          </w:p>
        </w:tc>
        <w:tc>
          <w:tcPr>
            <w:tcW w:w="2520" w:type="dxa"/>
            <w:vMerge w:val="restart"/>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520" w:type="dxa"/>
            <w:vMerge w:val="restart"/>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公开依据</w:t>
            </w:r>
          </w:p>
        </w:tc>
        <w:tc>
          <w:tcPr>
            <w:tcW w:w="1800" w:type="dxa"/>
            <w:vMerge w:val="restart"/>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公开时限</w:t>
            </w:r>
          </w:p>
        </w:tc>
        <w:tc>
          <w:tcPr>
            <w:tcW w:w="900" w:type="dxa"/>
            <w:vMerge w:val="restart"/>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公开主体</w:t>
            </w:r>
          </w:p>
        </w:tc>
        <w:tc>
          <w:tcPr>
            <w:tcW w:w="1496" w:type="dxa"/>
            <w:vMerge w:val="restart"/>
            <w:shd w:val="clear" w:color="auto" w:fill="auto"/>
            <w:noWrap w:val="0"/>
            <w:vAlign w:val="center"/>
          </w:tcPr>
          <w:p>
            <w:pPr>
              <w:widowControl/>
              <w:jc w:val="center"/>
              <w:rPr>
                <w:rFonts w:hint="eastAsia" w:ascii="黑体" w:hAnsi="宋体" w:eastAsia="黑体" w:cs="宋体"/>
                <w:kern w:val="0"/>
                <w:sz w:val="22"/>
              </w:rPr>
            </w:pPr>
            <w:r>
              <w:rPr>
                <w:rFonts w:hint="eastAsia" w:ascii="黑体" w:hAnsi="宋体" w:eastAsia="黑体" w:cs="宋体"/>
                <w:kern w:val="0"/>
                <w:sz w:val="22"/>
              </w:rPr>
              <w:t>公开渠道和载体</w:t>
            </w:r>
          </w:p>
        </w:tc>
        <w:tc>
          <w:tcPr>
            <w:tcW w:w="1384" w:type="dxa"/>
            <w:gridSpan w:val="2"/>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公开对象</w:t>
            </w:r>
          </w:p>
        </w:tc>
        <w:tc>
          <w:tcPr>
            <w:tcW w:w="1440" w:type="dxa"/>
            <w:gridSpan w:val="2"/>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540" w:type="dxa"/>
            <w:vMerge w:val="continue"/>
            <w:shd w:val="clear" w:color="auto" w:fill="auto"/>
            <w:noWrap w:val="0"/>
            <w:vAlign w:val="center"/>
          </w:tcPr>
          <w:p>
            <w:pPr>
              <w:widowControl/>
              <w:jc w:val="center"/>
              <w:rPr>
                <w:rFonts w:hint="eastAsia" w:ascii="仿宋_GB2312" w:hAnsi="Times New Roman" w:eastAsia="仿宋_GB2312"/>
                <w:color w:val="000000"/>
                <w:kern w:val="0"/>
                <w:sz w:val="18"/>
                <w:szCs w:val="18"/>
              </w:rPr>
            </w:pPr>
          </w:p>
        </w:tc>
        <w:tc>
          <w:tcPr>
            <w:tcW w:w="900"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一级事项</w:t>
            </w:r>
          </w:p>
        </w:tc>
        <w:tc>
          <w:tcPr>
            <w:tcW w:w="1080"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二级事项</w:t>
            </w:r>
          </w:p>
        </w:tc>
        <w:tc>
          <w:tcPr>
            <w:tcW w:w="2520" w:type="dxa"/>
            <w:vMerge w:val="continue"/>
            <w:shd w:val="clear" w:color="auto" w:fill="auto"/>
            <w:noWrap w:val="0"/>
            <w:vAlign w:val="center"/>
          </w:tcPr>
          <w:p>
            <w:pPr>
              <w:widowControl/>
              <w:jc w:val="left"/>
              <w:rPr>
                <w:rFonts w:hint="eastAsia" w:ascii="黑体" w:hAnsi="宋体" w:eastAsia="黑体" w:cs="宋体"/>
                <w:color w:val="000000"/>
                <w:kern w:val="0"/>
                <w:sz w:val="22"/>
              </w:rPr>
            </w:pPr>
          </w:p>
        </w:tc>
        <w:tc>
          <w:tcPr>
            <w:tcW w:w="2520" w:type="dxa"/>
            <w:vMerge w:val="continue"/>
            <w:shd w:val="clear" w:color="auto" w:fill="auto"/>
            <w:noWrap w:val="0"/>
            <w:vAlign w:val="center"/>
          </w:tcPr>
          <w:p>
            <w:pPr>
              <w:widowControl/>
              <w:jc w:val="left"/>
              <w:rPr>
                <w:rFonts w:hint="eastAsia" w:ascii="黑体" w:hAnsi="宋体" w:eastAsia="黑体" w:cs="宋体"/>
                <w:color w:val="000000"/>
                <w:kern w:val="0"/>
                <w:sz w:val="22"/>
              </w:rPr>
            </w:pPr>
          </w:p>
        </w:tc>
        <w:tc>
          <w:tcPr>
            <w:tcW w:w="1800" w:type="dxa"/>
            <w:vMerge w:val="continue"/>
            <w:shd w:val="clear" w:color="auto" w:fill="auto"/>
            <w:noWrap w:val="0"/>
            <w:vAlign w:val="center"/>
          </w:tcPr>
          <w:p>
            <w:pPr>
              <w:widowControl/>
              <w:jc w:val="left"/>
              <w:rPr>
                <w:rFonts w:hint="eastAsia" w:ascii="黑体" w:hAnsi="宋体" w:eastAsia="黑体" w:cs="宋体"/>
                <w:color w:val="000000"/>
                <w:kern w:val="0"/>
                <w:sz w:val="22"/>
              </w:rPr>
            </w:pPr>
          </w:p>
        </w:tc>
        <w:tc>
          <w:tcPr>
            <w:tcW w:w="900" w:type="dxa"/>
            <w:vMerge w:val="continue"/>
            <w:shd w:val="clear" w:color="auto" w:fill="auto"/>
            <w:noWrap w:val="0"/>
            <w:vAlign w:val="center"/>
          </w:tcPr>
          <w:p>
            <w:pPr>
              <w:widowControl/>
              <w:jc w:val="center"/>
              <w:rPr>
                <w:rFonts w:hint="eastAsia" w:ascii="黑体" w:hAnsi="宋体" w:eastAsia="黑体" w:cs="宋体"/>
                <w:color w:val="000000"/>
                <w:kern w:val="0"/>
                <w:sz w:val="22"/>
              </w:rPr>
            </w:pPr>
          </w:p>
        </w:tc>
        <w:tc>
          <w:tcPr>
            <w:tcW w:w="1496" w:type="dxa"/>
            <w:vMerge w:val="continue"/>
            <w:shd w:val="clear" w:color="auto" w:fill="auto"/>
            <w:noWrap w:val="0"/>
            <w:vAlign w:val="center"/>
          </w:tcPr>
          <w:p>
            <w:pPr>
              <w:widowControl/>
              <w:jc w:val="left"/>
              <w:rPr>
                <w:rFonts w:hint="eastAsia" w:ascii="黑体" w:hAnsi="宋体" w:eastAsia="黑体" w:cs="宋体"/>
                <w:kern w:val="0"/>
                <w:sz w:val="22"/>
              </w:rPr>
            </w:pPr>
          </w:p>
        </w:tc>
        <w:tc>
          <w:tcPr>
            <w:tcW w:w="664"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全社会</w:t>
            </w:r>
          </w:p>
        </w:tc>
        <w:tc>
          <w:tcPr>
            <w:tcW w:w="720"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特定群众</w:t>
            </w:r>
          </w:p>
        </w:tc>
        <w:tc>
          <w:tcPr>
            <w:tcW w:w="720"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shd w:val="clear" w:color="auto" w:fill="auto"/>
            <w:noWrap w:val="0"/>
            <w:vAlign w:val="center"/>
          </w:tcPr>
          <w:p>
            <w:pPr>
              <w:widowControl/>
              <w:jc w:val="center"/>
              <w:rPr>
                <w:rFonts w:hint="eastAsia" w:ascii="黑体" w:hAnsi="宋体" w:eastAsia="黑体" w:cs="宋体"/>
                <w:color w:val="000000"/>
                <w:kern w:val="0"/>
                <w:sz w:val="22"/>
                <w:lang w:eastAsia="zh-CN"/>
              </w:rPr>
            </w:pPr>
            <w:r>
              <w:rPr>
                <w:rFonts w:hint="eastAsia" w:ascii="黑体" w:hAnsi="宋体" w:eastAsia="黑体" w:cs="宋体"/>
                <w:color w:val="000000"/>
                <w:kern w:val="0"/>
                <w:sz w:val="22"/>
              </w:rPr>
              <w:t>县级</w:t>
            </w:r>
          </w:p>
        </w:tc>
        <w:tc>
          <w:tcPr>
            <w:tcW w:w="720" w:type="dxa"/>
            <w:shd w:val="clear" w:color="auto" w:fill="auto"/>
            <w:noWrap w:val="0"/>
            <w:vAlign w:val="center"/>
          </w:tcPr>
          <w:p>
            <w:pPr>
              <w:widowControl/>
              <w:jc w:val="cente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540" w:type="dxa"/>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1</w:t>
            </w:r>
          </w:p>
        </w:tc>
        <w:tc>
          <w:tcPr>
            <w:tcW w:w="900" w:type="dxa"/>
            <w:vMerge w:val="restart"/>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政策</w:t>
            </w:r>
          </w:p>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文件</w:t>
            </w: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法律法规</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与安全生产有关的法律、法规</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信息形成或变更之日起20个工作日内</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lang w:eastAsia="zh-CN"/>
              </w:rPr>
            </w:pPr>
            <w:r>
              <w:rPr>
                <w:rFonts w:hint="eastAsia" w:ascii="仿宋_GB2312" w:eastAsia="仿宋_GB2312"/>
                <w:bCs/>
                <w:color w:val="FF0000"/>
                <w:sz w:val="18"/>
                <w:szCs w:val="18"/>
                <w:lang w:eastAsia="zh-CN"/>
              </w:rPr>
              <w:t>牛家牌镇人民政府</w:t>
            </w:r>
          </w:p>
        </w:tc>
        <w:tc>
          <w:tcPr>
            <w:tcW w:w="1496" w:type="dxa"/>
            <w:vMerge w:val="restart"/>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540" w:type="dxa"/>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2</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部门和地方规章</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与安全生产有关的部门和地方规章</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信息形成或变更之日起20个工作日内</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lang w:eastAsia="zh-CN"/>
              </w:rPr>
              <w:t>牛家牌镇人民政府</w:t>
            </w:r>
          </w:p>
        </w:tc>
        <w:tc>
          <w:tcPr>
            <w:tcW w:w="1496" w:type="dxa"/>
            <w:vMerge w:val="continue"/>
            <w:shd w:val="clear" w:color="auto" w:fill="auto"/>
            <w:noWrap w:val="0"/>
            <w:vAlign w:val="center"/>
          </w:tcPr>
          <w:p>
            <w:pPr>
              <w:spacing w:line="240" w:lineRule="exact"/>
              <w:jc w:val="left"/>
              <w:rPr>
                <w:rFonts w:hint="eastAsia" w:ascii="仿宋_GB2312" w:eastAsia="仿宋_GB2312"/>
                <w:color w:val="FF0000"/>
                <w:sz w:val="18"/>
                <w:szCs w:val="18"/>
              </w:rPr>
            </w:pP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540" w:type="dxa"/>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3</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其他政策文件</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其他可以公开的与安全生产有关的政策文件，包括改革方案、发展规划、专项规划、工作计划等</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信息形成或变更之日起20个工作日内</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lang w:eastAsia="zh-CN"/>
              </w:rPr>
              <w:t>牛家牌镇人民政府</w:t>
            </w:r>
          </w:p>
        </w:tc>
        <w:tc>
          <w:tcPr>
            <w:tcW w:w="1496" w:type="dxa"/>
            <w:vMerge w:val="continue"/>
            <w:shd w:val="clear" w:color="auto" w:fill="auto"/>
            <w:noWrap w:val="0"/>
            <w:vAlign w:val="center"/>
          </w:tcPr>
          <w:p>
            <w:pPr>
              <w:spacing w:line="240" w:lineRule="exact"/>
              <w:jc w:val="left"/>
              <w:rPr>
                <w:rFonts w:hint="eastAsia" w:ascii="仿宋_GB2312" w:eastAsia="仿宋_GB2312"/>
                <w:color w:val="FF0000"/>
                <w:sz w:val="18"/>
                <w:szCs w:val="18"/>
              </w:rPr>
            </w:pP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540" w:type="dxa"/>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4</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标准</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安全生产领域有关的国家标准、行业标准、地方标准等</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信息形成或变更之日起20个工作日内</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vMerge w:val="continue"/>
            <w:shd w:val="clear" w:color="auto" w:fill="auto"/>
            <w:noWrap w:val="0"/>
            <w:vAlign w:val="center"/>
          </w:tcPr>
          <w:p>
            <w:pPr>
              <w:spacing w:line="240" w:lineRule="exact"/>
              <w:jc w:val="left"/>
              <w:rPr>
                <w:rFonts w:hint="eastAsia" w:ascii="仿宋_GB2312" w:eastAsia="仿宋_GB2312"/>
                <w:color w:val="FF0000"/>
                <w:sz w:val="18"/>
                <w:szCs w:val="18"/>
              </w:rPr>
            </w:pP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eastAsia="仿宋_GB2312"/>
                <w:bCs/>
                <w:color w:val="FF0000"/>
                <w:sz w:val="30"/>
                <w:szCs w:val="30"/>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eastAsia="仿宋_GB2312"/>
                <w:bCs/>
                <w:color w:val="FF0000"/>
                <w:sz w:val="30"/>
                <w:szCs w:val="30"/>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5</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重大决策草案</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涉及管理相对人切身利益、需社会广泛知晓的重要改革方案等重大决策，决策前向社会公开决策草案、决策依据</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《政府信息公开条例》、《关于全面推进政务公开工作的意见》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按进展情况及时公开</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lang w:eastAsia="zh-CN"/>
              </w:rPr>
              <w:t>牛家牌镇人民政府</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eastAsia="仿宋_GB2312"/>
                <w:bCs/>
                <w:color w:val="FF0000"/>
                <w:sz w:val="30"/>
                <w:szCs w:val="30"/>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eastAsia="仿宋_GB2312"/>
                <w:bCs/>
                <w:color w:val="FF0000"/>
                <w:sz w:val="30"/>
                <w:szCs w:val="30"/>
              </w:rPr>
            </w:pPr>
            <w:r>
              <w:rPr>
                <w:rFonts w:hint="eastAsia" w:ascii="仿宋_GB2312" w:eastAsia="仿宋_GB2312"/>
                <w:bCs/>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540" w:type="dxa"/>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6</w:t>
            </w:r>
          </w:p>
        </w:tc>
        <w:tc>
          <w:tcPr>
            <w:tcW w:w="900" w:type="dxa"/>
            <w:vMerge w:val="restart"/>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政策</w:t>
            </w:r>
          </w:p>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文件</w:t>
            </w: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重大政策解读及回应</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有关重大政策的解读与回应，安全生产相关热点问题的解读与回应</w:t>
            </w:r>
          </w:p>
        </w:tc>
        <w:tc>
          <w:tcPr>
            <w:tcW w:w="2520" w:type="dxa"/>
            <w:shd w:val="clear" w:color="auto" w:fill="auto"/>
            <w:noWrap w:val="0"/>
            <w:vAlign w:val="top"/>
          </w:tcPr>
          <w:p>
            <w:pPr>
              <w:rPr>
                <w:color w:val="FF0000"/>
              </w:rPr>
            </w:pPr>
            <w:r>
              <w:rPr>
                <w:rFonts w:hint="eastAsia" w:ascii="仿宋_GB2312" w:eastAsia="仿宋_GB2312"/>
                <w:bCs/>
                <w:color w:val="FF0000"/>
                <w:sz w:val="18"/>
                <w:szCs w:val="18"/>
              </w:rPr>
              <w:t>《政府信息公开条例》、《关于全面推进政务公开工作的意见》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重大决策作出后及时公开</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trPr>
        <w:tc>
          <w:tcPr>
            <w:tcW w:w="540" w:type="dxa"/>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7</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重要会议</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通过会议讨论作出重要改革方案等重大决策时，经党组研究认为有必要公开讨论决策过程的会议</w:t>
            </w:r>
            <w:bookmarkStart w:id="1" w:name="_GoBack"/>
            <w:bookmarkEnd w:id="1"/>
          </w:p>
        </w:tc>
        <w:tc>
          <w:tcPr>
            <w:tcW w:w="2520" w:type="dxa"/>
            <w:shd w:val="clear" w:color="auto" w:fill="auto"/>
            <w:noWrap w:val="0"/>
            <w:vAlign w:val="top"/>
          </w:tcPr>
          <w:p>
            <w:pPr>
              <w:rPr>
                <w:color w:val="FF0000"/>
              </w:rPr>
            </w:pPr>
            <w:r>
              <w:rPr>
                <w:rFonts w:hint="eastAsia" w:ascii="仿宋_GB2312" w:eastAsia="仿宋_GB2312"/>
                <w:bCs/>
                <w:color w:val="FF0000"/>
                <w:sz w:val="18"/>
                <w:szCs w:val="18"/>
              </w:rPr>
              <w:t>《政府信息公开条例》、《关于全面推进政务公开工作的意见》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提前一周发通知邀请</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lang w:eastAsia="zh-CN"/>
              </w:rPr>
              <w:t>牛家牌镇人民政府</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540" w:type="dxa"/>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8</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征集采纳社会公众意见情况</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重大决策草案公布后征集到的社会公众意见情况、采纳与否情况及理由等</w:t>
            </w:r>
          </w:p>
        </w:tc>
        <w:tc>
          <w:tcPr>
            <w:tcW w:w="2520" w:type="dxa"/>
            <w:shd w:val="clear" w:color="auto" w:fill="auto"/>
            <w:noWrap w:val="0"/>
            <w:vAlign w:val="top"/>
          </w:tcPr>
          <w:p>
            <w:pPr>
              <w:rPr>
                <w:color w:val="FF0000"/>
              </w:rPr>
            </w:pPr>
            <w:r>
              <w:rPr>
                <w:rFonts w:hint="eastAsia" w:ascii="仿宋_GB2312" w:eastAsia="仿宋_GB2312"/>
                <w:bCs/>
                <w:color w:val="FF0000"/>
                <w:sz w:val="18"/>
                <w:szCs w:val="18"/>
              </w:rPr>
              <w:t>《政府信息公开条例》、《关于全面推进政务公开工作的意见》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征求意见时对外公布的时限内公开</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lang w:eastAsia="zh-CN"/>
              </w:rPr>
              <w:t>牛家牌镇人民政府</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eastAsia" w:ascii="仿宋_GB2312" w:hAnsi="宋体" w:eastAsia="仿宋_GB2312" w:cs="宋体"/>
                <w:color w:val="FF0000"/>
                <w:sz w:val="18"/>
                <w:szCs w:val="18"/>
                <w:lang w:val="en-US" w:eastAsia="zh-CN"/>
              </w:rPr>
            </w:pPr>
            <w:r>
              <w:rPr>
                <w:rFonts w:hint="eastAsia" w:ascii="仿宋_GB2312" w:hAnsi="宋体" w:eastAsia="仿宋_GB2312" w:cs="宋体"/>
                <w:color w:val="FF0000"/>
                <w:sz w:val="18"/>
                <w:szCs w:val="18"/>
                <w:lang w:val="en-US" w:eastAsia="zh-CN"/>
              </w:rPr>
              <w:t>9</w:t>
            </w:r>
          </w:p>
        </w:tc>
        <w:tc>
          <w:tcPr>
            <w:tcW w:w="900" w:type="dxa"/>
            <w:vMerge w:val="restart"/>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依法</w:t>
            </w:r>
          </w:p>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行政</w:t>
            </w: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行政处罚</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办理行政处罚的依据、条件、程序以及本级行政机关认为具有一定社会影响的行政处罚决定</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信息形成或变更之日起20个工作日内</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540" w:type="dxa"/>
            <w:shd w:val="clear" w:color="auto" w:fill="auto"/>
            <w:noWrap w:val="0"/>
            <w:vAlign w:val="center"/>
          </w:tcPr>
          <w:p>
            <w:pPr>
              <w:jc w:val="center"/>
              <w:rPr>
                <w:rFonts w:hint="eastAsia" w:ascii="仿宋_GB2312" w:hAnsi="宋体" w:eastAsia="仿宋_GB2312" w:cs="宋体"/>
                <w:color w:val="FF0000"/>
                <w:kern w:val="2"/>
                <w:sz w:val="18"/>
                <w:szCs w:val="18"/>
                <w:lang w:val="en-US" w:eastAsia="zh-CN" w:bidi="ar-SA"/>
              </w:rPr>
            </w:pPr>
            <w:r>
              <w:rPr>
                <w:rFonts w:hint="eastAsia" w:ascii="仿宋_GB2312" w:hAnsi="宋体" w:eastAsia="仿宋_GB2312" w:cs="宋体"/>
                <w:color w:val="FF0000"/>
                <w:sz w:val="18"/>
                <w:szCs w:val="18"/>
              </w:rPr>
              <w:t>10</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行政强制</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办理行政强制的依据、条件、程序</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《政府信息公开条例》、《突发事件应对法》、《突发事件应急预案管理办法》、《中共中央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信息形成或变更之日起20个工作日内</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11</w:t>
            </w:r>
          </w:p>
        </w:tc>
        <w:tc>
          <w:tcPr>
            <w:tcW w:w="90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行政</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管理</w:t>
            </w:r>
          </w:p>
        </w:tc>
        <w:tc>
          <w:tcPr>
            <w:tcW w:w="108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隐患管理</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重大隐患排查、挂牌督办及其整改情况，安全生产举报电话等</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《安全生产法》、《政府信息公开条例》、《中共中央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color w:val="auto"/>
                <w:sz w:val="18"/>
                <w:szCs w:val="18"/>
              </w:rPr>
            </w:pPr>
            <w:r>
              <w:rPr>
                <w:rFonts w:hint="eastAsia" w:ascii="仿宋_GB2312" w:eastAsia="仿宋_GB2312"/>
                <w:bCs/>
                <w:color w:val="auto"/>
                <w:sz w:val="18"/>
                <w:szCs w:val="18"/>
                <w:lang w:eastAsia="zh-CN"/>
              </w:rPr>
              <w:t>牛家牌镇人民政府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2" w:hRule="atLeast"/>
        </w:trPr>
        <w:tc>
          <w:tcPr>
            <w:tcW w:w="54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12</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行政</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管理</w:t>
            </w:r>
          </w:p>
        </w:tc>
        <w:tc>
          <w:tcPr>
            <w:tcW w:w="1080" w:type="dxa"/>
            <w:shd w:val="clear" w:color="auto" w:fill="auto"/>
            <w:noWrap w:val="0"/>
            <w:vAlign w:val="center"/>
          </w:tcPr>
          <w:p>
            <w:pPr>
              <w:rPr>
                <w:rFonts w:hint="eastAsia" w:ascii="仿宋_GB2312" w:eastAsia="仿宋_GB2312"/>
                <w:bCs/>
                <w:sz w:val="18"/>
                <w:szCs w:val="18"/>
              </w:rPr>
            </w:pPr>
            <w:r>
              <w:rPr>
                <w:rFonts w:hint="eastAsia" w:ascii="仿宋_GB2312" w:eastAsia="仿宋_GB2312"/>
                <w:bCs/>
                <w:sz w:val="18"/>
                <w:szCs w:val="18"/>
              </w:rPr>
              <w:t>应急管理</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xml:space="preserve">承担处置主责、非敏感的应急信息，包括事故灾害类预警信息、事故信息、事故后采取的应急处置措施和应对结果等  </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《政府信息公开条例》、《突发事件应对法》、《关于全面加强政务公开工作的意见》</w:t>
            </w:r>
          </w:p>
        </w:tc>
        <w:tc>
          <w:tcPr>
            <w:tcW w:w="180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color w:val="auto"/>
                <w:sz w:val="18"/>
                <w:szCs w:val="18"/>
              </w:rPr>
            </w:pPr>
            <w:r>
              <w:rPr>
                <w:rFonts w:hint="eastAsia" w:ascii="仿宋_GB2312" w:eastAsia="仿宋_GB2312"/>
                <w:bCs/>
                <w:color w:val="auto"/>
                <w:sz w:val="18"/>
                <w:szCs w:val="18"/>
                <w:lang w:eastAsia="zh-CN"/>
              </w:rPr>
              <w:t>牛家牌镇人民政府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2" w:hRule="atLeast"/>
        </w:trPr>
        <w:tc>
          <w:tcPr>
            <w:tcW w:w="540" w:type="dxa"/>
            <w:shd w:val="clear" w:color="auto" w:fill="auto"/>
            <w:noWrap w:val="0"/>
            <w:vAlign w:val="center"/>
          </w:tcPr>
          <w:p>
            <w:pPr>
              <w:jc w:val="center"/>
              <w:rPr>
                <w:rFonts w:hint="default" w:ascii="仿宋_GB2312" w:hAnsi="宋体" w:eastAsia="仿宋_GB2312" w:cs="宋体"/>
                <w:color w:val="FF0000"/>
                <w:sz w:val="18"/>
                <w:szCs w:val="18"/>
                <w:lang w:val="en-US" w:eastAsia="zh-CN"/>
              </w:rPr>
            </w:pPr>
            <w:r>
              <w:rPr>
                <w:rFonts w:hint="eastAsia" w:ascii="仿宋_GB2312" w:hAnsi="宋体" w:eastAsia="仿宋_GB2312" w:cs="宋体"/>
                <w:color w:val="FF0000"/>
                <w:sz w:val="18"/>
                <w:szCs w:val="18"/>
                <w:lang w:val="en-US" w:eastAsia="zh-CN"/>
              </w:rPr>
              <w:t>13</w:t>
            </w:r>
          </w:p>
        </w:tc>
        <w:tc>
          <w:tcPr>
            <w:tcW w:w="900" w:type="dxa"/>
            <w:vMerge w:val="continue"/>
            <w:shd w:val="clear" w:color="auto" w:fill="auto"/>
            <w:noWrap w:val="0"/>
            <w:vAlign w:val="center"/>
          </w:tcPr>
          <w:p>
            <w:pPr>
              <w:jc w:val="cente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eastAsia="仿宋_GB2312"/>
                <w:bCs/>
                <w:color w:val="FF0000"/>
                <w:sz w:val="18"/>
                <w:szCs w:val="18"/>
              </w:rPr>
            </w:pPr>
            <w:r>
              <w:rPr>
                <w:rFonts w:hint="eastAsia" w:ascii="仿宋_GB2312" w:eastAsia="仿宋_GB2312"/>
                <w:bCs/>
                <w:color w:val="FF0000"/>
                <w:sz w:val="18"/>
                <w:szCs w:val="18"/>
              </w:rPr>
              <w:t>黑名单管理</w:t>
            </w:r>
          </w:p>
        </w:tc>
        <w:tc>
          <w:tcPr>
            <w:tcW w:w="2520" w:type="dxa"/>
            <w:shd w:val="clear" w:color="auto" w:fill="auto"/>
            <w:noWrap w:val="0"/>
            <w:vAlign w:val="center"/>
          </w:tcPr>
          <w:p>
            <w:pPr>
              <w:rPr>
                <w:rFonts w:hint="eastAsia" w:ascii="仿宋_GB2312" w:hAnsi="宋体" w:eastAsia="仿宋_GB2312" w:cs="宋体"/>
                <w:b/>
                <w:bCs w:val="0"/>
                <w:color w:val="FF0000"/>
                <w:kern w:val="2"/>
                <w:sz w:val="18"/>
                <w:szCs w:val="18"/>
                <w:lang w:val="en-US" w:eastAsia="zh-CN" w:bidi="ar-SA"/>
              </w:rPr>
            </w:pPr>
            <w:r>
              <w:rPr>
                <w:rFonts w:hint="eastAsia" w:ascii="仿宋_GB2312" w:eastAsia="仿宋_GB2312"/>
                <w:bCs/>
                <w:color w:val="FF0000"/>
                <w:sz w:val="18"/>
                <w:szCs w:val="18"/>
              </w:rPr>
              <w:t>列入或撤销纳入安全生产黑名单管理的企业信息，具体企业名称、证照编号、经营地址、负责人姓名等</w:t>
            </w:r>
          </w:p>
        </w:tc>
        <w:tc>
          <w:tcPr>
            <w:tcW w:w="25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《政府信息公开条例》、《社会信用体系建设规划纲要（2014-2020年）》</w:t>
            </w:r>
          </w:p>
        </w:tc>
        <w:tc>
          <w:tcPr>
            <w:tcW w:w="180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信息形成或变更之日起20个工作日内</w:t>
            </w:r>
          </w:p>
        </w:tc>
        <w:tc>
          <w:tcPr>
            <w:tcW w:w="90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eastAsia="仿宋_GB2312"/>
                <w:bCs/>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40" w:type="dxa"/>
            <w:shd w:val="clear" w:color="auto" w:fill="auto"/>
            <w:noWrap w:val="0"/>
            <w:vAlign w:val="center"/>
          </w:tcPr>
          <w:p>
            <w:pPr>
              <w:jc w:val="center"/>
              <w:rPr>
                <w:rFonts w:hint="default" w:ascii="仿宋_GB2312" w:hAnsi="宋体" w:eastAsia="仿宋_GB2312" w:cs="宋体"/>
                <w:color w:val="auto"/>
                <w:kern w:val="2"/>
                <w:sz w:val="18"/>
                <w:szCs w:val="18"/>
                <w:lang w:val="en-US" w:eastAsia="zh-CN" w:bidi="ar-SA"/>
              </w:rPr>
            </w:pPr>
            <w:r>
              <w:rPr>
                <w:rFonts w:hint="eastAsia" w:ascii="仿宋_GB2312" w:hAnsi="宋体" w:eastAsia="仿宋_GB2312" w:cs="宋体"/>
                <w:color w:val="auto"/>
                <w:sz w:val="18"/>
                <w:szCs w:val="18"/>
                <w:lang w:val="en-US" w:eastAsia="zh-CN"/>
              </w:rPr>
              <w:t>14</w:t>
            </w:r>
          </w:p>
        </w:tc>
        <w:tc>
          <w:tcPr>
            <w:tcW w:w="900" w:type="dxa"/>
            <w:vMerge w:val="restart"/>
            <w:shd w:val="clear" w:color="auto" w:fill="auto"/>
            <w:noWrap w:val="0"/>
            <w:vAlign w:val="center"/>
          </w:tcPr>
          <w:p>
            <w:pPr>
              <w:jc w:val="center"/>
              <w:rPr>
                <w:rFonts w:hint="eastAsia" w:ascii="仿宋_GB2312" w:hAnsi="宋体" w:eastAsia="仿宋_GB2312" w:cs="宋体"/>
                <w:color w:val="auto"/>
                <w:sz w:val="18"/>
                <w:szCs w:val="18"/>
              </w:rPr>
            </w:pPr>
            <w:r>
              <w:rPr>
                <w:rFonts w:hint="eastAsia" w:ascii="仿宋_GB2312" w:hAnsi="宋体" w:eastAsia="仿宋_GB2312" w:cs="宋体"/>
                <w:color w:val="auto"/>
                <w:sz w:val="18"/>
                <w:szCs w:val="18"/>
              </w:rPr>
              <w:t>行政</w:t>
            </w:r>
          </w:p>
          <w:p>
            <w:pPr>
              <w:jc w:val="center"/>
              <w:rPr>
                <w:rFonts w:hint="eastAsia" w:ascii="仿宋_GB2312" w:hAnsi="宋体" w:eastAsia="仿宋_GB2312" w:cs="宋体"/>
                <w:color w:val="auto"/>
                <w:sz w:val="18"/>
                <w:szCs w:val="18"/>
              </w:rPr>
            </w:pPr>
            <w:r>
              <w:rPr>
                <w:rFonts w:hint="eastAsia" w:ascii="仿宋_GB2312" w:hAnsi="宋体" w:eastAsia="仿宋_GB2312" w:cs="宋体"/>
                <w:color w:val="auto"/>
                <w:sz w:val="18"/>
                <w:szCs w:val="18"/>
              </w:rPr>
              <w:t>管理</w:t>
            </w:r>
          </w:p>
        </w:tc>
        <w:tc>
          <w:tcPr>
            <w:tcW w:w="1080" w:type="dxa"/>
            <w:shd w:val="clear" w:color="auto" w:fill="auto"/>
            <w:noWrap w:val="0"/>
            <w:vAlign w:val="center"/>
          </w:tcPr>
          <w:p>
            <w:pPr>
              <w:rPr>
                <w:rFonts w:hint="eastAsia" w:ascii="仿宋_GB2312" w:eastAsia="仿宋_GB2312"/>
                <w:bCs/>
                <w:color w:val="auto"/>
                <w:sz w:val="18"/>
                <w:szCs w:val="18"/>
              </w:rPr>
            </w:pPr>
            <w:r>
              <w:rPr>
                <w:rFonts w:hint="eastAsia" w:ascii="仿宋_GB2312" w:eastAsia="仿宋_GB2312"/>
                <w:bCs/>
                <w:color w:val="auto"/>
                <w:sz w:val="18"/>
                <w:szCs w:val="18"/>
              </w:rPr>
              <w:t>事故通报</w:t>
            </w:r>
          </w:p>
        </w:tc>
        <w:tc>
          <w:tcPr>
            <w:tcW w:w="2520" w:type="dxa"/>
            <w:shd w:val="clear" w:color="auto" w:fill="auto"/>
            <w:noWrap w:val="0"/>
            <w:vAlign w:val="center"/>
          </w:tcPr>
          <w:p>
            <w:pPr>
              <w:jc w:val="left"/>
              <w:rPr>
                <w:rFonts w:hint="eastAsia" w:ascii="仿宋_GB2312" w:eastAsia="仿宋_GB2312"/>
                <w:bCs/>
                <w:color w:val="auto"/>
                <w:sz w:val="18"/>
                <w:szCs w:val="18"/>
                <w:lang w:val="en-US" w:eastAsia="zh-CN"/>
              </w:rPr>
            </w:pPr>
            <w:r>
              <w:rPr>
                <w:rFonts w:hint="eastAsia" w:ascii="仿宋_GB2312" w:eastAsia="仿宋_GB2312"/>
                <w:bCs/>
                <w:color w:val="auto"/>
                <w:sz w:val="18"/>
                <w:szCs w:val="18"/>
              </w:rPr>
              <w:t>1、事故信息:本部门接报查实的各类生产安全事故情况（事故发生时间、地点、伤亡情况、简要经过）</w:t>
            </w:r>
          </w:p>
          <w:p>
            <w:pPr>
              <w:jc w:val="left"/>
              <w:rPr>
                <w:rFonts w:hint="eastAsia" w:ascii="仿宋_GB2312" w:hAnsi="宋体" w:eastAsia="仿宋_GB2312" w:cs="宋体"/>
                <w:bCs/>
                <w:color w:val="auto"/>
                <w:sz w:val="18"/>
                <w:szCs w:val="18"/>
              </w:rPr>
            </w:pPr>
            <w:r>
              <w:rPr>
                <w:rFonts w:hint="eastAsia" w:ascii="仿宋_GB2312" w:eastAsia="仿宋_GB2312"/>
                <w:bCs/>
                <w:color w:val="auto"/>
                <w:sz w:val="18"/>
                <w:szCs w:val="18"/>
                <w:lang w:val="en-US" w:eastAsia="zh-CN"/>
              </w:rPr>
              <w:t>2</w:t>
            </w:r>
            <w:r>
              <w:rPr>
                <w:rFonts w:hint="eastAsia" w:ascii="仿宋_GB2312" w:eastAsia="仿宋_GB2312"/>
                <w:bCs/>
                <w:color w:val="auto"/>
                <w:sz w:val="18"/>
                <w:szCs w:val="18"/>
              </w:rPr>
              <w:t xml:space="preserve">、典型事故通报:各类典型安全生产事故情况通报，主要包括发生时间、地点、起因、经过、结果、相关领导批示情况、预防性措施建议等内容                       </w:t>
            </w:r>
            <w:r>
              <w:rPr>
                <w:rFonts w:hint="eastAsia" w:ascii="仿宋_GB2312" w:eastAsia="仿宋_GB2312"/>
                <w:bCs/>
                <w:color w:val="auto"/>
                <w:sz w:val="18"/>
                <w:szCs w:val="18"/>
                <w:lang w:val="en-US" w:eastAsia="zh-CN"/>
              </w:rPr>
              <w:t>3</w:t>
            </w:r>
            <w:r>
              <w:rPr>
                <w:rFonts w:hint="eastAsia" w:ascii="仿宋_GB2312" w:eastAsia="仿宋_GB2312"/>
                <w:bCs/>
                <w:color w:val="auto"/>
                <w:sz w:val="18"/>
                <w:szCs w:val="18"/>
              </w:rPr>
              <w:t>、事故调查报告：依照事故调查处理权限，经批复的生产安全事故调查报告，依法应当保密的除外</w:t>
            </w:r>
          </w:p>
        </w:tc>
        <w:tc>
          <w:tcPr>
            <w:tcW w:w="2520" w:type="dxa"/>
            <w:shd w:val="clear" w:color="auto" w:fill="auto"/>
            <w:noWrap w:val="0"/>
            <w:vAlign w:val="center"/>
          </w:tcPr>
          <w:p>
            <w:pPr>
              <w:rPr>
                <w:rFonts w:hint="eastAsia" w:ascii="仿宋_GB2312" w:hAnsi="宋体" w:eastAsia="仿宋_GB2312" w:cs="宋体"/>
                <w:bCs/>
                <w:color w:val="auto"/>
                <w:sz w:val="18"/>
                <w:szCs w:val="18"/>
              </w:rPr>
            </w:pPr>
            <w:r>
              <w:rPr>
                <w:rFonts w:hint="eastAsia" w:ascii="仿宋_GB2312" w:eastAsia="仿宋_GB2312"/>
                <w:bCs/>
                <w:color w:val="auto"/>
                <w:sz w:val="18"/>
                <w:szCs w:val="18"/>
              </w:rPr>
              <w:t>《安全生产法》、《政府信息公开条例》、《中共中央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auto"/>
                <w:sz w:val="18"/>
                <w:szCs w:val="18"/>
              </w:rPr>
            </w:pPr>
            <w:r>
              <w:rPr>
                <w:rFonts w:hint="eastAsia" w:ascii="仿宋_GB2312" w:eastAsia="仿宋_GB2312"/>
                <w:bCs/>
                <w:color w:val="auto"/>
                <w:sz w:val="18"/>
                <w:szCs w:val="18"/>
              </w:rPr>
              <w:t>按照中央有关要求公开</w:t>
            </w:r>
          </w:p>
        </w:tc>
        <w:tc>
          <w:tcPr>
            <w:tcW w:w="900" w:type="dxa"/>
            <w:shd w:val="clear" w:color="auto" w:fill="auto"/>
            <w:noWrap w:val="0"/>
            <w:vAlign w:val="center"/>
          </w:tcPr>
          <w:p>
            <w:pPr>
              <w:rPr>
                <w:rFonts w:hint="eastAsia" w:ascii="仿宋_GB2312" w:hAnsi="宋体" w:eastAsia="仿宋_GB2312" w:cs="宋体"/>
                <w:bCs/>
                <w:color w:val="auto"/>
                <w:sz w:val="18"/>
                <w:szCs w:val="18"/>
              </w:rPr>
            </w:pPr>
            <w:r>
              <w:rPr>
                <w:rFonts w:hint="eastAsia" w:ascii="仿宋_GB2312" w:eastAsia="仿宋_GB2312"/>
                <w:bCs/>
                <w:color w:val="auto"/>
                <w:sz w:val="18"/>
                <w:szCs w:val="18"/>
                <w:lang w:eastAsia="zh-CN"/>
              </w:rPr>
              <w:t>牛家牌镇人民政府</w:t>
            </w:r>
          </w:p>
        </w:tc>
        <w:tc>
          <w:tcPr>
            <w:tcW w:w="1496" w:type="dxa"/>
            <w:shd w:val="clear" w:color="auto" w:fill="auto"/>
            <w:noWrap w:val="0"/>
            <w:vAlign w:val="center"/>
          </w:tcPr>
          <w:p>
            <w:pPr>
              <w:spacing w:line="240" w:lineRule="exact"/>
              <w:jc w:val="left"/>
              <w:rPr>
                <w:rFonts w:hint="eastAsia" w:ascii="仿宋_GB2312" w:eastAsia="仿宋_GB2312"/>
                <w:color w:val="auto"/>
                <w:sz w:val="18"/>
                <w:szCs w:val="18"/>
              </w:rPr>
            </w:pPr>
            <w:r>
              <w:rPr>
                <w:rFonts w:hint="eastAsia" w:ascii="仿宋_GB2312" w:eastAsia="仿宋_GB2312"/>
                <w:color w:val="auto"/>
                <w:sz w:val="18"/>
                <w:szCs w:val="18"/>
              </w:rPr>
              <w:t>■政府网站</w:t>
            </w:r>
          </w:p>
        </w:tc>
        <w:tc>
          <w:tcPr>
            <w:tcW w:w="664" w:type="dxa"/>
            <w:shd w:val="clear" w:color="auto" w:fill="auto"/>
            <w:noWrap w:val="0"/>
            <w:vAlign w:val="center"/>
          </w:tcPr>
          <w:p>
            <w:pPr>
              <w:rPr>
                <w:rFonts w:hint="eastAsia" w:ascii="仿宋_GB2312" w:hAnsi="宋体" w:eastAsia="仿宋_GB2312" w:cs="宋体"/>
                <w:bCs/>
                <w:color w:val="auto"/>
                <w:sz w:val="18"/>
                <w:szCs w:val="18"/>
              </w:rPr>
            </w:pPr>
            <w:r>
              <w:rPr>
                <w:rFonts w:hint="eastAsia" w:ascii="仿宋_GB2312" w:eastAsia="仿宋_GB2312"/>
                <w:bCs/>
                <w:color w:val="auto"/>
                <w:sz w:val="18"/>
                <w:szCs w:val="18"/>
              </w:rPr>
              <w:t>√</w:t>
            </w:r>
          </w:p>
        </w:tc>
        <w:tc>
          <w:tcPr>
            <w:tcW w:w="720" w:type="dxa"/>
            <w:shd w:val="clear" w:color="auto" w:fill="auto"/>
            <w:noWrap w:val="0"/>
            <w:vAlign w:val="center"/>
          </w:tcPr>
          <w:p>
            <w:pPr>
              <w:rPr>
                <w:rFonts w:hint="eastAsia" w:ascii="仿宋_GB2312" w:hAnsi="宋体" w:eastAsia="仿宋_GB2312" w:cs="宋体"/>
                <w:bCs/>
                <w:color w:val="auto"/>
                <w:sz w:val="18"/>
                <w:szCs w:val="18"/>
              </w:rPr>
            </w:pPr>
            <w:r>
              <w:rPr>
                <w:rFonts w:hint="eastAsia" w:ascii="仿宋_GB2312" w:eastAsia="仿宋_GB2312"/>
                <w:bCs/>
                <w:color w:val="auto"/>
                <w:sz w:val="18"/>
                <w:szCs w:val="18"/>
              </w:rPr>
              <w:t>　</w:t>
            </w:r>
          </w:p>
        </w:tc>
        <w:tc>
          <w:tcPr>
            <w:tcW w:w="720" w:type="dxa"/>
            <w:shd w:val="clear" w:color="auto" w:fill="auto"/>
            <w:noWrap w:val="0"/>
            <w:vAlign w:val="center"/>
          </w:tcPr>
          <w:p>
            <w:pPr>
              <w:rPr>
                <w:rFonts w:hint="eastAsia" w:ascii="仿宋_GB2312" w:hAnsi="宋体" w:eastAsia="仿宋_GB2312" w:cs="宋体"/>
                <w:bCs/>
                <w:color w:val="auto"/>
                <w:sz w:val="18"/>
                <w:szCs w:val="18"/>
              </w:rPr>
            </w:pPr>
            <w:r>
              <w:rPr>
                <w:rFonts w:hint="eastAsia" w:ascii="仿宋_GB2312" w:eastAsia="仿宋_GB2312"/>
                <w:bCs/>
                <w:color w:val="auto"/>
                <w:sz w:val="18"/>
                <w:szCs w:val="18"/>
              </w:rPr>
              <w:t>√</w:t>
            </w:r>
          </w:p>
        </w:tc>
        <w:tc>
          <w:tcPr>
            <w:tcW w:w="720" w:type="dxa"/>
            <w:shd w:val="clear" w:color="auto" w:fill="auto"/>
            <w:noWrap w:val="0"/>
            <w:vAlign w:val="center"/>
          </w:tcPr>
          <w:p>
            <w:pPr>
              <w:rPr>
                <w:rFonts w:hint="eastAsia" w:ascii="仿宋_GB2312" w:hAnsi="宋体" w:eastAsia="仿宋_GB2312" w:cs="宋体"/>
                <w:bCs/>
                <w:color w:val="auto"/>
                <w:sz w:val="18"/>
                <w:szCs w:val="18"/>
              </w:rPr>
            </w:pPr>
            <w:r>
              <w:rPr>
                <w:rFonts w:hint="eastAsia" w:ascii="仿宋_GB2312" w:eastAsia="仿宋_GB2312"/>
                <w:bCs/>
                <w:color w:val="auto"/>
                <w:sz w:val="18"/>
                <w:szCs w:val="18"/>
              </w:rPr>
              <w:t>　</w:t>
            </w:r>
          </w:p>
        </w:tc>
        <w:tc>
          <w:tcPr>
            <w:tcW w:w="720" w:type="dxa"/>
            <w:shd w:val="clear" w:color="auto" w:fill="auto"/>
            <w:noWrap w:val="0"/>
            <w:vAlign w:val="center"/>
          </w:tcPr>
          <w:p>
            <w:pPr>
              <w:rPr>
                <w:rFonts w:hint="eastAsia" w:ascii="仿宋_GB2312" w:hAnsi="宋体" w:eastAsia="仿宋_GB2312" w:cs="宋体"/>
                <w:bCs/>
                <w:color w:val="auto"/>
                <w:kern w:val="2"/>
                <w:sz w:val="18"/>
                <w:szCs w:val="18"/>
                <w:lang w:val="en-US" w:eastAsia="zh-CN" w:bidi="ar-SA"/>
              </w:rPr>
            </w:pPr>
            <w:r>
              <w:rPr>
                <w:rFonts w:hint="eastAsia" w:ascii="仿宋_GB2312" w:eastAsia="仿宋_GB2312"/>
                <w:bCs/>
                <w:color w:val="auto"/>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trPr>
        <w:tc>
          <w:tcPr>
            <w:tcW w:w="540" w:type="dxa"/>
            <w:shd w:val="clear" w:color="auto" w:fill="auto"/>
            <w:noWrap w:val="0"/>
            <w:vAlign w:val="center"/>
          </w:tcPr>
          <w:p>
            <w:pPr>
              <w:jc w:val="center"/>
              <w:rPr>
                <w:rFonts w:hint="default"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kern w:val="2"/>
                <w:sz w:val="18"/>
                <w:szCs w:val="18"/>
                <w:lang w:val="en-US" w:eastAsia="zh-CN" w:bidi="ar-SA"/>
              </w:rPr>
              <w:t>15</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动态信息</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业务工作动态、安全生产执法检查动态</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color w:val="auto"/>
                <w:sz w:val="18"/>
                <w:szCs w:val="18"/>
              </w:rPr>
            </w:pPr>
            <w:r>
              <w:rPr>
                <w:rFonts w:hint="eastAsia" w:ascii="仿宋_GB2312" w:eastAsia="仿宋_GB2312"/>
                <w:bCs/>
                <w:color w:val="auto"/>
                <w:sz w:val="18"/>
                <w:szCs w:val="18"/>
                <w:lang w:eastAsia="zh-CN"/>
              </w:rPr>
              <w:t>牛家牌镇人民政府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 xml:space="preserve">■政府网站   ■两微一端 </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8" w:hRule="atLeast"/>
        </w:trPr>
        <w:tc>
          <w:tcPr>
            <w:tcW w:w="540" w:type="dxa"/>
            <w:shd w:val="clear" w:color="auto" w:fill="auto"/>
            <w:noWrap w:val="0"/>
            <w:vAlign w:val="center"/>
          </w:tcPr>
          <w:p>
            <w:pPr>
              <w:jc w:val="center"/>
              <w:rPr>
                <w:rFonts w:hint="default"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16</w:t>
            </w:r>
          </w:p>
        </w:tc>
        <w:tc>
          <w:tcPr>
            <w:tcW w:w="90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行政</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管理</w:t>
            </w:r>
          </w:p>
        </w:tc>
        <w:tc>
          <w:tcPr>
            <w:tcW w:w="108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安全生产预警提示信息</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灾害预警信息            不同时段、不同领域安全生产提示信息</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信息形成后及时公开</w:t>
            </w:r>
          </w:p>
        </w:tc>
        <w:tc>
          <w:tcPr>
            <w:tcW w:w="900" w:type="dxa"/>
            <w:shd w:val="clear" w:color="auto" w:fill="auto"/>
            <w:noWrap w:val="0"/>
            <w:vAlign w:val="center"/>
          </w:tcPr>
          <w:p>
            <w:pPr>
              <w:rPr>
                <w:rFonts w:hint="eastAsia" w:ascii="仿宋_GB2312" w:hAnsi="宋体" w:eastAsia="仿宋_GB2312" w:cs="宋体"/>
                <w:bCs/>
                <w:color w:val="auto"/>
                <w:sz w:val="18"/>
                <w:szCs w:val="18"/>
              </w:rPr>
            </w:pPr>
            <w:r>
              <w:rPr>
                <w:rFonts w:hint="eastAsia" w:ascii="仿宋_GB2312" w:eastAsia="仿宋_GB2312"/>
                <w:bCs/>
                <w:color w:val="auto"/>
                <w:sz w:val="18"/>
                <w:szCs w:val="18"/>
                <w:lang w:eastAsia="zh-CN"/>
              </w:rPr>
              <w:t>牛家牌镇人民政府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p>
            <w:pPr>
              <w:spacing w:line="240" w:lineRule="exact"/>
              <w:jc w:val="left"/>
              <w:rPr>
                <w:rFonts w:hint="eastAsia" w:ascii="仿宋_GB2312" w:eastAsia="仿宋_GB2312"/>
                <w:sz w:val="18"/>
                <w:szCs w:val="18"/>
              </w:rPr>
            </w:pPr>
            <w:r>
              <w:rPr>
                <w:rFonts w:hint="eastAsia" w:ascii="仿宋_GB2312" w:eastAsia="仿宋_GB2312"/>
                <w:sz w:val="18"/>
                <w:szCs w:val="18"/>
              </w:rPr>
              <w:t>■精准推送</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trPr>
        <w:tc>
          <w:tcPr>
            <w:tcW w:w="540" w:type="dxa"/>
            <w:shd w:val="clear" w:color="auto" w:fill="auto"/>
            <w:noWrap w:val="0"/>
            <w:vAlign w:val="center"/>
          </w:tcPr>
          <w:p>
            <w:pPr>
              <w:jc w:val="center"/>
              <w:rPr>
                <w:rFonts w:hint="eastAsia" w:ascii="仿宋_GB2312" w:hAnsi="宋体" w:eastAsia="仿宋_GB2312" w:cs="宋体"/>
                <w:color w:val="FF0000"/>
                <w:kern w:val="2"/>
                <w:sz w:val="18"/>
                <w:szCs w:val="18"/>
                <w:lang w:val="en-US" w:eastAsia="zh-CN" w:bidi="ar-SA"/>
              </w:rPr>
            </w:pPr>
            <w:r>
              <w:rPr>
                <w:rFonts w:hint="eastAsia" w:ascii="仿宋_GB2312" w:hAnsi="宋体" w:eastAsia="仿宋_GB2312" w:cs="宋体"/>
                <w:color w:val="FF0000"/>
                <w:sz w:val="18"/>
                <w:szCs w:val="18"/>
              </w:rPr>
              <w:t>17</w:t>
            </w:r>
          </w:p>
        </w:tc>
        <w:tc>
          <w:tcPr>
            <w:tcW w:w="900" w:type="dxa"/>
            <w:vMerge w:val="restart"/>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公共</w:t>
            </w:r>
          </w:p>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服务</w:t>
            </w: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政务公开目录</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政务公开事项的索引、名称、内容概述、生成日期等</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540" w:type="dxa"/>
            <w:shd w:val="clear" w:color="auto" w:fill="auto"/>
            <w:noWrap w:val="0"/>
            <w:vAlign w:val="center"/>
          </w:tcPr>
          <w:p>
            <w:pPr>
              <w:jc w:val="center"/>
              <w:rPr>
                <w:rFonts w:hint="eastAsia" w:ascii="仿宋_GB2312" w:hAnsi="宋体" w:eastAsia="仿宋_GB2312" w:cs="宋体"/>
                <w:color w:val="FF0000"/>
                <w:kern w:val="2"/>
                <w:sz w:val="18"/>
                <w:szCs w:val="18"/>
                <w:lang w:val="en-US" w:eastAsia="zh-CN" w:bidi="ar-SA"/>
              </w:rPr>
            </w:pPr>
            <w:r>
              <w:rPr>
                <w:rFonts w:hint="eastAsia" w:ascii="仿宋_GB2312" w:hAnsi="宋体" w:eastAsia="仿宋_GB2312" w:cs="宋体"/>
                <w:color w:val="FF0000"/>
                <w:sz w:val="18"/>
                <w:szCs w:val="18"/>
              </w:rPr>
              <w:t>18</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政务公开标准</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政府信息公开指南等流程性信息</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default" w:ascii="仿宋_GB2312" w:hAnsi="宋体" w:eastAsia="仿宋_GB2312" w:cs="宋体"/>
                <w:color w:val="FF0000"/>
                <w:kern w:val="2"/>
                <w:sz w:val="18"/>
                <w:szCs w:val="18"/>
                <w:lang w:val="en-US" w:eastAsia="zh-CN" w:bidi="ar-SA"/>
              </w:rPr>
            </w:pPr>
            <w:r>
              <w:rPr>
                <w:rFonts w:hint="eastAsia" w:ascii="仿宋_GB2312" w:hAnsi="宋体" w:eastAsia="仿宋_GB2312" w:cs="宋体"/>
                <w:color w:val="FF0000"/>
                <w:kern w:val="2"/>
                <w:sz w:val="18"/>
                <w:szCs w:val="18"/>
                <w:lang w:val="en-US" w:eastAsia="zh-CN" w:bidi="ar-SA"/>
              </w:rPr>
              <w:t>19</w:t>
            </w:r>
          </w:p>
        </w:tc>
        <w:tc>
          <w:tcPr>
            <w:tcW w:w="900" w:type="dxa"/>
            <w:vMerge w:val="restart"/>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公共</w:t>
            </w:r>
          </w:p>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服务</w:t>
            </w: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权力清单及责任清单</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同级政府审批通过的行政执法主体信息和行政许可、行政处罚、行政强制、行政检查、行政确认、行政奖励及其他行政职权等行政执法职权职责清单</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信息形成或者变更20个工作日内，如有更新，及时公开</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default" w:ascii="仿宋_GB2312" w:hAnsi="宋体" w:eastAsia="仿宋_GB2312" w:cs="宋体"/>
                <w:color w:val="FF0000"/>
                <w:kern w:val="2"/>
                <w:sz w:val="18"/>
                <w:szCs w:val="18"/>
                <w:lang w:val="en-US" w:eastAsia="zh-CN" w:bidi="ar-SA"/>
              </w:rPr>
            </w:pPr>
            <w:r>
              <w:rPr>
                <w:rFonts w:hint="eastAsia" w:ascii="仿宋_GB2312" w:hAnsi="宋体" w:eastAsia="仿宋_GB2312" w:cs="宋体"/>
                <w:color w:val="FF0000"/>
                <w:sz w:val="18"/>
                <w:szCs w:val="18"/>
              </w:rPr>
              <w:t>20</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主要业务办事指南</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主要业务工作的办事依据、程序、时限，办事时间、地点、部门、联系方式及相关办理结果</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信息形成或者变更之日起20个工作日内</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eastAsia" w:ascii="仿宋_GB2312" w:hAnsi="宋体" w:eastAsia="仿宋_GB2312" w:cs="宋体"/>
                <w:color w:val="FF0000"/>
                <w:kern w:val="2"/>
                <w:sz w:val="18"/>
                <w:szCs w:val="18"/>
                <w:lang w:val="en-US" w:eastAsia="zh-CN" w:bidi="ar-SA"/>
              </w:rPr>
            </w:pPr>
            <w:r>
              <w:rPr>
                <w:rFonts w:hint="eastAsia" w:ascii="仿宋_GB2312" w:hAnsi="宋体" w:eastAsia="仿宋_GB2312" w:cs="宋体"/>
                <w:color w:val="FF0000"/>
                <w:sz w:val="18"/>
                <w:szCs w:val="18"/>
              </w:rPr>
              <w:t>21</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年度报告</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政府信息公开年度报告及相关统计报表</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每年1月31日前</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22</w:t>
            </w:r>
          </w:p>
        </w:tc>
        <w:tc>
          <w:tcPr>
            <w:tcW w:w="90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重点</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领域</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信息</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公开</w:t>
            </w:r>
          </w:p>
        </w:tc>
        <w:tc>
          <w:tcPr>
            <w:tcW w:w="108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财政资金信息</w:t>
            </w:r>
          </w:p>
        </w:tc>
        <w:tc>
          <w:tcPr>
            <w:tcW w:w="2520" w:type="dxa"/>
            <w:shd w:val="clear" w:color="auto" w:fill="auto"/>
            <w:noWrap w:val="0"/>
            <w:vAlign w:val="center"/>
          </w:tcPr>
          <w:p>
            <w:pPr>
              <w:rPr>
                <w:rFonts w:hint="eastAsia" w:ascii="仿宋_GB2312" w:eastAsia="仿宋_GB2312"/>
                <w:bCs/>
                <w:sz w:val="18"/>
                <w:szCs w:val="18"/>
              </w:rPr>
            </w:pPr>
            <w:r>
              <w:rPr>
                <w:rFonts w:hint="eastAsia" w:ascii="仿宋_GB2312" w:eastAsia="仿宋_GB2312"/>
                <w:bCs/>
                <w:sz w:val="18"/>
                <w:szCs w:val="18"/>
              </w:rPr>
              <w:t>预算、决算</w:t>
            </w:r>
          </w:p>
          <w:p>
            <w:pPr>
              <w:rPr>
                <w:rFonts w:hint="eastAsia" w:ascii="仿宋_GB2312" w:eastAsia="仿宋_GB2312"/>
                <w:bCs/>
                <w:sz w:val="18"/>
                <w:szCs w:val="18"/>
              </w:rPr>
            </w:pPr>
            <w:r>
              <w:rPr>
                <w:rFonts w:hint="eastAsia" w:ascii="仿宋_GB2312" w:eastAsia="仿宋_GB2312"/>
                <w:bCs/>
                <w:sz w:val="18"/>
                <w:szCs w:val="18"/>
              </w:rPr>
              <w:t xml:space="preserve"> “三公”经费</w:t>
            </w:r>
          </w:p>
          <w:p>
            <w:pPr>
              <w:rPr>
                <w:rFonts w:hint="eastAsia" w:ascii="仿宋_GB2312" w:hAnsi="宋体" w:eastAsia="仿宋_GB2312" w:cs="宋体"/>
                <w:bCs/>
                <w:sz w:val="18"/>
                <w:szCs w:val="18"/>
              </w:rPr>
            </w:pPr>
            <w:r>
              <w:rPr>
                <w:rFonts w:hint="eastAsia" w:ascii="仿宋_GB2312" w:eastAsia="仿宋_GB2312"/>
                <w:bCs/>
                <w:sz w:val="18"/>
                <w:szCs w:val="18"/>
              </w:rPr>
              <w:t>安全生产专项资金使用等财政资金信息</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《政府信息公开条例》、《国务院关于深化预算管理制度改革的决定》、《国务院办公厅关于进一步推进预算公开工作意见的通知》</w:t>
            </w:r>
          </w:p>
        </w:tc>
        <w:tc>
          <w:tcPr>
            <w:tcW w:w="18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按中央要求时限公开</w:t>
            </w:r>
          </w:p>
        </w:tc>
        <w:tc>
          <w:tcPr>
            <w:tcW w:w="900" w:type="dxa"/>
            <w:shd w:val="clear" w:color="auto" w:fill="auto"/>
            <w:noWrap w:val="0"/>
            <w:vAlign w:val="center"/>
          </w:tcPr>
          <w:p>
            <w:pPr>
              <w:rPr>
                <w:rFonts w:hint="eastAsia" w:ascii="仿宋_GB2312" w:hAnsi="宋体" w:eastAsia="仿宋_GB2312" w:cs="宋体"/>
                <w:bCs/>
                <w:color w:val="auto"/>
                <w:sz w:val="18"/>
                <w:szCs w:val="18"/>
              </w:rPr>
            </w:pPr>
            <w:r>
              <w:rPr>
                <w:rFonts w:hint="eastAsia" w:ascii="仿宋_GB2312" w:eastAsia="仿宋_GB2312"/>
                <w:bCs/>
                <w:color w:val="auto"/>
                <w:sz w:val="18"/>
                <w:szCs w:val="18"/>
                <w:lang w:eastAsia="zh-CN"/>
              </w:rPr>
              <w:t>牛家牌镇人民政府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23</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重点</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领域</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信息</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公开</w:t>
            </w:r>
          </w:p>
        </w:tc>
        <w:tc>
          <w:tcPr>
            <w:tcW w:w="108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政府采购信息</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本单位采购实施情况相关信息</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《政府信息公开条例》、《国务院关于深化预算管理制度改革的决定》、中办、国办印发《关于进一步推进预算公开工作的意见》的通知</w:t>
            </w:r>
          </w:p>
        </w:tc>
        <w:tc>
          <w:tcPr>
            <w:tcW w:w="18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color w:val="auto"/>
                <w:sz w:val="18"/>
                <w:szCs w:val="18"/>
              </w:rPr>
            </w:pPr>
            <w:r>
              <w:rPr>
                <w:rFonts w:hint="eastAsia" w:ascii="仿宋_GB2312" w:eastAsia="仿宋_GB2312"/>
                <w:bCs/>
                <w:color w:val="auto"/>
                <w:sz w:val="18"/>
                <w:szCs w:val="18"/>
                <w:lang w:eastAsia="zh-CN"/>
              </w:rPr>
              <w:t>牛家牌镇人民政府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24</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办事纪律和监督管理</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本单位的办事纪律,受理投诉、举报、信访的途径等内容</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color w:val="auto"/>
                <w:sz w:val="18"/>
                <w:szCs w:val="18"/>
              </w:rPr>
            </w:pPr>
            <w:r>
              <w:rPr>
                <w:rFonts w:hint="eastAsia" w:ascii="仿宋_GB2312" w:eastAsia="仿宋_GB2312"/>
                <w:bCs/>
                <w:color w:val="auto"/>
                <w:sz w:val="18"/>
                <w:szCs w:val="18"/>
                <w:lang w:eastAsia="zh-CN"/>
              </w:rPr>
              <w:t>牛家牌镇人民政府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FF0000"/>
                <w:kern w:val="2"/>
                <w:sz w:val="18"/>
                <w:szCs w:val="18"/>
                <w:lang w:val="en-US" w:eastAsia="zh-CN" w:bidi="ar-SA"/>
              </w:rPr>
              <w:t>25</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重点</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领域</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信息</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公开</w:t>
            </w: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重大工程项目信息</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项目名称、执行措施、责任分工、取得成效、后续举措等</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《政府信息公开条例》、《国务院办公厅关于推进重大建设项目批准和实施领域政府信息公开的意见》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按照中央有关要求公开</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default"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26</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检查和巡查发现安全监管监察问题</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检查和巡查发现的、并要求向社会公开的问题及整改落实情况</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color w:val="00B0F0"/>
                <w:sz w:val="18"/>
                <w:szCs w:val="18"/>
              </w:rPr>
            </w:pPr>
            <w:r>
              <w:rPr>
                <w:rFonts w:hint="eastAsia" w:ascii="仿宋_GB2312" w:eastAsia="仿宋_GB2312"/>
                <w:bCs/>
                <w:color w:val="auto"/>
                <w:sz w:val="18"/>
                <w:szCs w:val="18"/>
                <w:lang w:eastAsia="zh-CN"/>
              </w:rPr>
              <w:t>牛家牌镇人民政府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540" w:type="dxa"/>
            <w:shd w:val="clear" w:color="auto" w:fill="auto"/>
            <w:noWrap w:val="0"/>
            <w:vAlign w:val="center"/>
          </w:tcPr>
          <w:p>
            <w:pPr>
              <w:jc w:val="center"/>
              <w:rPr>
                <w:rFonts w:hint="default" w:ascii="仿宋_GB2312" w:hAnsi="宋体" w:eastAsia="仿宋_GB2312" w:cs="宋体"/>
                <w:color w:val="FF0000"/>
                <w:kern w:val="2"/>
                <w:sz w:val="18"/>
                <w:szCs w:val="18"/>
                <w:lang w:val="en-US" w:eastAsia="zh-CN" w:bidi="ar-SA"/>
              </w:rPr>
            </w:pPr>
            <w:r>
              <w:rPr>
                <w:rFonts w:hint="eastAsia" w:ascii="仿宋_GB2312" w:hAnsi="宋体" w:eastAsia="仿宋_GB2312" w:cs="宋体"/>
                <w:color w:val="FF0000"/>
                <w:kern w:val="2"/>
                <w:sz w:val="18"/>
                <w:szCs w:val="18"/>
                <w:lang w:val="en-US" w:eastAsia="zh-CN" w:bidi="ar-SA"/>
              </w:rPr>
              <w:t>27</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建议提案办理</w:t>
            </w:r>
          </w:p>
        </w:tc>
        <w:tc>
          <w:tcPr>
            <w:tcW w:w="2520" w:type="dxa"/>
            <w:shd w:val="clear" w:color="auto" w:fill="auto"/>
            <w:noWrap w:val="0"/>
            <w:vAlign w:val="center"/>
          </w:tcPr>
          <w:p>
            <w:pPr>
              <w:rPr>
                <w:rFonts w:hint="eastAsia" w:ascii="仿宋_GB2312" w:eastAsia="仿宋_GB2312"/>
                <w:bCs/>
                <w:color w:val="FF0000"/>
                <w:sz w:val="18"/>
                <w:szCs w:val="18"/>
              </w:rPr>
            </w:pPr>
            <w:r>
              <w:rPr>
                <w:rFonts w:hint="eastAsia" w:ascii="仿宋_GB2312" w:eastAsia="仿宋_GB2312"/>
                <w:bCs/>
                <w:color w:val="FF0000"/>
                <w:sz w:val="18"/>
                <w:szCs w:val="18"/>
              </w:rPr>
              <w:t xml:space="preserve">办理制度与推进情况            </w:t>
            </w:r>
          </w:p>
          <w:p>
            <w:pPr>
              <w:rPr>
                <w:rFonts w:hint="eastAsia" w:ascii="仿宋_GB2312" w:eastAsia="仿宋_GB2312"/>
                <w:bCs/>
                <w:color w:val="FF0000"/>
                <w:sz w:val="18"/>
                <w:szCs w:val="18"/>
              </w:rPr>
            </w:pPr>
            <w:r>
              <w:rPr>
                <w:rFonts w:hint="eastAsia" w:ascii="仿宋_GB2312" w:eastAsia="仿宋_GB2312"/>
                <w:bCs/>
                <w:color w:val="FF0000"/>
                <w:sz w:val="18"/>
                <w:szCs w:val="18"/>
              </w:rPr>
              <w:t xml:space="preserve">人大代表建议办理              </w:t>
            </w:r>
          </w:p>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政协委员提案办理</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《政府信息公开条例》、《国务院办公厅关于做好全国人大代表建议和全国政协委员提案办理结果公开工作的通知》</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按照中央有关要求公开</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hAnsi="宋体" w:eastAsia="仿宋_GB2312" w:cs="宋体"/>
                <w:bCs/>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540" w:type="dxa"/>
            <w:shd w:val="clear" w:color="auto" w:fill="auto"/>
            <w:noWrap w:val="0"/>
            <w:vAlign w:val="center"/>
          </w:tcPr>
          <w:p>
            <w:pPr>
              <w:jc w:val="center"/>
              <w:rPr>
                <w:rFonts w:hint="default" w:ascii="仿宋_GB2312" w:hAnsi="宋体" w:eastAsia="仿宋_GB2312" w:cs="宋体"/>
                <w:color w:val="00B050"/>
                <w:kern w:val="2"/>
                <w:sz w:val="18"/>
                <w:szCs w:val="18"/>
                <w:lang w:val="en-US" w:eastAsia="zh-CN" w:bidi="ar-SA"/>
              </w:rPr>
            </w:pPr>
            <w:r>
              <w:rPr>
                <w:rFonts w:hint="eastAsia" w:ascii="仿宋_GB2312" w:hAnsi="宋体" w:eastAsia="仿宋_GB2312" w:cs="宋体"/>
                <w:color w:val="00B050"/>
                <w:kern w:val="2"/>
                <w:sz w:val="18"/>
                <w:szCs w:val="18"/>
                <w:lang w:val="en-US" w:eastAsia="zh-CN" w:bidi="ar-SA"/>
              </w:rPr>
              <w:t>28</w:t>
            </w:r>
          </w:p>
        </w:tc>
        <w:tc>
          <w:tcPr>
            <w:tcW w:w="900" w:type="dxa"/>
            <w:shd w:val="clear" w:color="auto" w:fill="auto"/>
            <w:noWrap w:val="0"/>
            <w:vAlign w:val="center"/>
          </w:tcPr>
          <w:p>
            <w:pPr>
              <w:rPr>
                <w:rFonts w:hint="eastAsia" w:ascii="仿宋_GB2312" w:hAnsi="宋体" w:eastAsia="仿宋_GB2312" w:cs="宋体"/>
                <w:color w:val="00B050"/>
                <w:sz w:val="18"/>
                <w:szCs w:val="18"/>
                <w:lang w:eastAsia="zh-CN"/>
              </w:rPr>
            </w:pPr>
            <w:r>
              <w:rPr>
                <w:rFonts w:hint="eastAsia" w:ascii="仿宋_GB2312" w:hAnsi="宋体" w:eastAsia="仿宋_GB2312" w:cs="宋体"/>
                <w:color w:val="00B050"/>
                <w:sz w:val="18"/>
                <w:szCs w:val="18"/>
                <w:lang w:eastAsia="zh-CN"/>
              </w:rPr>
              <w:t>行政检查</w:t>
            </w:r>
          </w:p>
        </w:tc>
        <w:tc>
          <w:tcPr>
            <w:tcW w:w="1080" w:type="dxa"/>
            <w:shd w:val="clear" w:color="auto" w:fill="auto"/>
            <w:noWrap w:val="0"/>
            <w:vAlign w:val="center"/>
          </w:tcPr>
          <w:p>
            <w:pPr>
              <w:rPr>
                <w:rFonts w:hint="eastAsia" w:ascii="仿宋_GB2312" w:eastAsia="仿宋_GB2312"/>
                <w:bCs/>
                <w:color w:val="00B050"/>
                <w:sz w:val="18"/>
                <w:szCs w:val="18"/>
                <w:lang w:eastAsia="zh-CN"/>
              </w:rPr>
            </w:pPr>
            <w:r>
              <w:rPr>
                <w:rFonts w:hint="eastAsia" w:ascii="仿宋_GB2312" w:eastAsia="仿宋_GB2312"/>
                <w:bCs/>
                <w:color w:val="00B050"/>
                <w:sz w:val="18"/>
                <w:szCs w:val="18"/>
                <w:lang w:eastAsia="zh-CN"/>
              </w:rPr>
              <w:t>安全生产监督检查</w:t>
            </w:r>
          </w:p>
        </w:tc>
        <w:tc>
          <w:tcPr>
            <w:tcW w:w="2520" w:type="dxa"/>
            <w:shd w:val="clear" w:color="auto" w:fill="auto"/>
            <w:noWrap w:val="0"/>
            <w:vAlign w:val="center"/>
          </w:tcPr>
          <w:p>
            <w:pPr>
              <w:rPr>
                <w:rFonts w:hint="eastAsia" w:ascii="仿宋_GB2312" w:eastAsia="仿宋_GB2312"/>
                <w:bCs/>
                <w:color w:val="00B050"/>
                <w:sz w:val="18"/>
                <w:szCs w:val="18"/>
                <w:lang w:eastAsia="zh-CN"/>
              </w:rPr>
            </w:pPr>
            <w:r>
              <w:rPr>
                <w:rFonts w:hint="eastAsia" w:ascii="仿宋_GB2312" w:eastAsia="仿宋_GB2312"/>
                <w:bCs/>
                <w:color w:val="00B050"/>
                <w:sz w:val="18"/>
                <w:szCs w:val="18"/>
                <w:lang w:eastAsia="zh-CN"/>
              </w:rPr>
              <w:t>对本行政区域内生产经营单位安全生产状况的监督检查</w:t>
            </w:r>
          </w:p>
        </w:tc>
        <w:tc>
          <w:tcPr>
            <w:tcW w:w="2520" w:type="dxa"/>
            <w:shd w:val="clear" w:color="auto" w:fill="auto"/>
            <w:noWrap w:val="0"/>
            <w:vAlign w:val="center"/>
          </w:tcPr>
          <w:p>
            <w:pPr>
              <w:rPr>
                <w:rFonts w:hint="eastAsia" w:ascii="仿宋_GB2312" w:eastAsia="仿宋_GB2312"/>
                <w:bCs/>
                <w:color w:val="00B050"/>
                <w:sz w:val="18"/>
                <w:szCs w:val="18"/>
              </w:rPr>
            </w:pPr>
            <w:r>
              <w:rPr>
                <w:rFonts w:hint="eastAsia" w:ascii="仿宋_GB2312" w:eastAsia="仿宋_GB2312"/>
                <w:bCs/>
                <w:color w:val="00B050"/>
                <w:sz w:val="18"/>
                <w:szCs w:val="18"/>
              </w:rPr>
              <w:t xml:space="preserve">《政府信息公开条例》《中华人民共和国安全生产法》 </w:t>
            </w:r>
          </w:p>
        </w:tc>
        <w:tc>
          <w:tcPr>
            <w:tcW w:w="1800" w:type="dxa"/>
            <w:shd w:val="clear" w:color="auto" w:fill="auto"/>
            <w:noWrap w:val="0"/>
            <w:vAlign w:val="center"/>
          </w:tcPr>
          <w:p>
            <w:pPr>
              <w:rPr>
                <w:rFonts w:hint="eastAsia" w:ascii="仿宋_GB2312" w:eastAsia="仿宋_GB2312"/>
                <w:bCs/>
                <w:color w:val="00B050"/>
                <w:sz w:val="18"/>
                <w:szCs w:val="18"/>
              </w:rPr>
            </w:pPr>
            <w:r>
              <w:rPr>
                <w:rFonts w:hint="eastAsia" w:ascii="仿宋_GB2312" w:eastAsia="仿宋_GB2312"/>
                <w:bCs/>
                <w:color w:val="00B050"/>
                <w:sz w:val="18"/>
                <w:szCs w:val="18"/>
              </w:rPr>
              <w:t>信息形成或者变更之日起20个工作日内</w:t>
            </w:r>
          </w:p>
        </w:tc>
        <w:tc>
          <w:tcPr>
            <w:tcW w:w="900" w:type="dxa"/>
            <w:shd w:val="clear" w:color="auto" w:fill="auto"/>
            <w:noWrap w:val="0"/>
            <w:vAlign w:val="center"/>
          </w:tcPr>
          <w:p>
            <w:pPr>
              <w:rPr>
                <w:rFonts w:hint="eastAsia" w:ascii="仿宋_GB2312" w:eastAsia="仿宋_GB2312"/>
                <w:bCs/>
                <w:color w:val="00B050"/>
                <w:sz w:val="18"/>
                <w:szCs w:val="18"/>
              </w:rPr>
            </w:pPr>
            <w:r>
              <w:rPr>
                <w:rFonts w:hint="eastAsia" w:ascii="仿宋_GB2312" w:eastAsia="仿宋_GB2312"/>
                <w:bCs/>
                <w:color w:val="00B050"/>
                <w:sz w:val="18"/>
                <w:szCs w:val="18"/>
                <w:lang w:eastAsia="zh-CN"/>
              </w:rPr>
              <w:t>牛家牌镇人民政府</w:t>
            </w:r>
          </w:p>
        </w:tc>
        <w:tc>
          <w:tcPr>
            <w:tcW w:w="1496" w:type="dxa"/>
            <w:shd w:val="clear" w:color="auto" w:fill="auto"/>
            <w:noWrap w:val="0"/>
            <w:vAlign w:val="center"/>
          </w:tcPr>
          <w:p>
            <w:pPr>
              <w:spacing w:line="240" w:lineRule="exact"/>
              <w:jc w:val="left"/>
              <w:rPr>
                <w:rFonts w:hint="eastAsia" w:ascii="仿宋_GB2312" w:eastAsia="仿宋_GB2312"/>
                <w:color w:val="00B050"/>
                <w:sz w:val="18"/>
                <w:szCs w:val="18"/>
              </w:rPr>
            </w:pPr>
            <w:r>
              <w:rPr>
                <w:rFonts w:hint="eastAsia" w:ascii="仿宋_GB2312" w:eastAsia="仿宋_GB2312"/>
                <w:color w:val="00B050"/>
                <w:sz w:val="18"/>
                <w:szCs w:val="18"/>
              </w:rPr>
              <w:t>■政府网站</w:t>
            </w:r>
          </w:p>
        </w:tc>
        <w:tc>
          <w:tcPr>
            <w:tcW w:w="664" w:type="dxa"/>
            <w:shd w:val="clear" w:color="auto" w:fill="auto"/>
            <w:noWrap w:val="0"/>
            <w:vAlign w:val="center"/>
          </w:tcPr>
          <w:p>
            <w:pPr>
              <w:rPr>
                <w:rFonts w:hint="eastAsia" w:ascii="仿宋_GB2312" w:eastAsia="仿宋_GB2312"/>
                <w:bCs/>
                <w:color w:val="00B050"/>
                <w:sz w:val="18"/>
                <w:szCs w:val="18"/>
              </w:rPr>
            </w:pPr>
            <w:r>
              <w:rPr>
                <w:rFonts w:hint="eastAsia" w:ascii="仿宋_GB2312" w:eastAsia="仿宋_GB2312"/>
                <w:bCs/>
                <w:color w:val="00B050"/>
                <w:sz w:val="18"/>
                <w:szCs w:val="18"/>
              </w:rPr>
              <w:t>√</w:t>
            </w:r>
          </w:p>
        </w:tc>
        <w:tc>
          <w:tcPr>
            <w:tcW w:w="720" w:type="dxa"/>
            <w:shd w:val="clear" w:color="auto" w:fill="auto"/>
            <w:noWrap w:val="0"/>
            <w:vAlign w:val="center"/>
          </w:tcPr>
          <w:p>
            <w:pPr>
              <w:rPr>
                <w:rFonts w:hint="eastAsia" w:ascii="仿宋_GB2312" w:eastAsia="仿宋_GB2312"/>
                <w:bCs/>
                <w:color w:val="00B050"/>
                <w:sz w:val="18"/>
                <w:szCs w:val="18"/>
              </w:rPr>
            </w:pPr>
            <w:r>
              <w:rPr>
                <w:rFonts w:hint="eastAsia" w:ascii="仿宋_GB2312" w:eastAsia="仿宋_GB2312"/>
                <w:bCs/>
                <w:color w:val="00B050"/>
                <w:sz w:val="18"/>
                <w:szCs w:val="18"/>
              </w:rPr>
              <w:t>　</w:t>
            </w:r>
          </w:p>
        </w:tc>
        <w:tc>
          <w:tcPr>
            <w:tcW w:w="720" w:type="dxa"/>
            <w:shd w:val="clear" w:color="auto" w:fill="auto"/>
            <w:noWrap w:val="0"/>
            <w:vAlign w:val="center"/>
          </w:tcPr>
          <w:p>
            <w:pPr>
              <w:rPr>
                <w:rFonts w:hint="eastAsia" w:ascii="仿宋_GB2312" w:eastAsia="仿宋_GB2312"/>
                <w:bCs/>
                <w:color w:val="00B050"/>
                <w:sz w:val="18"/>
                <w:szCs w:val="18"/>
              </w:rPr>
            </w:pPr>
            <w:r>
              <w:rPr>
                <w:rFonts w:hint="eastAsia" w:ascii="仿宋_GB2312" w:eastAsia="仿宋_GB2312"/>
                <w:bCs/>
                <w:color w:val="00B050"/>
                <w:sz w:val="18"/>
                <w:szCs w:val="18"/>
              </w:rPr>
              <w:t>√</w:t>
            </w:r>
          </w:p>
        </w:tc>
        <w:tc>
          <w:tcPr>
            <w:tcW w:w="720" w:type="dxa"/>
            <w:shd w:val="clear" w:color="auto" w:fill="auto"/>
            <w:noWrap w:val="0"/>
            <w:vAlign w:val="center"/>
          </w:tcPr>
          <w:p>
            <w:pPr>
              <w:rPr>
                <w:rFonts w:hint="eastAsia" w:ascii="仿宋_GB2312" w:eastAsia="仿宋_GB2312"/>
                <w:bCs/>
                <w:color w:val="00B050"/>
                <w:sz w:val="18"/>
                <w:szCs w:val="18"/>
              </w:rPr>
            </w:pPr>
            <w:r>
              <w:rPr>
                <w:rFonts w:hint="eastAsia" w:ascii="仿宋_GB2312" w:eastAsia="仿宋_GB2312"/>
                <w:bCs/>
                <w:color w:val="00B050"/>
                <w:sz w:val="18"/>
                <w:szCs w:val="18"/>
              </w:rPr>
              <w:t>　</w:t>
            </w:r>
          </w:p>
        </w:tc>
        <w:tc>
          <w:tcPr>
            <w:tcW w:w="720" w:type="dxa"/>
            <w:shd w:val="clear" w:color="auto" w:fill="auto"/>
            <w:noWrap w:val="0"/>
            <w:vAlign w:val="center"/>
          </w:tcPr>
          <w:p>
            <w:pPr>
              <w:rPr>
                <w:rFonts w:hint="eastAsia" w:ascii="仿宋_GB2312" w:eastAsia="仿宋_GB2312"/>
                <w:bCs/>
                <w:color w:val="00B050"/>
                <w:sz w:val="18"/>
                <w:szCs w:val="18"/>
              </w:rPr>
            </w:pPr>
          </w:p>
        </w:tc>
        <w:tc>
          <w:tcPr>
            <w:tcW w:w="720" w:type="dxa"/>
            <w:shd w:val="clear" w:color="auto" w:fill="auto"/>
            <w:noWrap w:val="0"/>
            <w:vAlign w:val="center"/>
          </w:tcPr>
          <w:p>
            <w:pPr>
              <w:rPr>
                <w:rFonts w:hint="eastAsia" w:ascii="仿宋_GB2312" w:eastAsia="仿宋_GB2312"/>
                <w:bCs/>
                <w:color w:val="00B050"/>
                <w:sz w:val="18"/>
                <w:szCs w:val="18"/>
              </w:rPr>
            </w:pPr>
            <w:r>
              <w:rPr>
                <w:rFonts w:hint="eastAsia" w:ascii="仿宋_GB2312" w:eastAsia="仿宋_GB2312"/>
                <w:bCs/>
                <w:color w:val="00B050"/>
                <w:sz w:val="18"/>
                <w:szCs w:val="18"/>
              </w:rPr>
              <w:t>√</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81D0F"/>
    <w:rsid w:val="06074DE9"/>
    <w:rsid w:val="0C151F4E"/>
    <w:rsid w:val="0EBB5BCE"/>
    <w:rsid w:val="19F1426A"/>
    <w:rsid w:val="1A935343"/>
    <w:rsid w:val="1B4109CE"/>
    <w:rsid w:val="21207664"/>
    <w:rsid w:val="31F44101"/>
    <w:rsid w:val="323736AA"/>
    <w:rsid w:val="33464A18"/>
    <w:rsid w:val="35180592"/>
    <w:rsid w:val="35A07B8E"/>
    <w:rsid w:val="386F74B4"/>
    <w:rsid w:val="3A6B7E97"/>
    <w:rsid w:val="443764BD"/>
    <w:rsid w:val="44F47024"/>
    <w:rsid w:val="4A4B6102"/>
    <w:rsid w:val="4A7F2BB2"/>
    <w:rsid w:val="4E000E0D"/>
    <w:rsid w:val="4F7E7A40"/>
    <w:rsid w:val="58A34756"/>
    <w:rsid w:val="5A0403DB"/>
    <w:rsid w:val="5A8B783F"/>
    <w:rsid w:val="5AA9744E"/>
    <w:rsid w:val="5AC1658D"/>
    <w:rsid w:val="5BE27FD7"/>
    <w:rsid w:val="620B3B57"/>
    <w:rsid w:val="63A850BD"/>
    <w:rsid w:val="64FB15D0"/>
    <w:rsid w:val="6585625C"/>
    <w:rsid w:val="6D1F4BF2"/>
    <w:rsid w:val="6D3D7865"/>
    <w:rsid w:val="70240787"/>
    <w:rsid w:val="71546336"/>
    <w:rsid w:val="727B567F"/>
    <w:rsid w:val="72EC7CCF"/>
    <w:rsid w:val="771A2BFF"/>
    <w:rsid w:val="7BCD79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SJ</dc:creator>
  <cp:lastModifiedBy>云里雾里</cp:lastModifiedBy>
  <cp:lastPrinted>2020-07-01T01:16:00Z</cp:lastPrinted>
  <dcterms:modified xsi:type="dcterms:W3CDTF">2020-09-04T02:52:02Z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