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方正小标宋_GBK" w:hAnsi="方正小标宋_GBK" w:eastAsia="方正小标宋_GBK"/>
          <w:b w:val="0"/>
          <w:bCs w:val="0"/>
          <w:sz w:val="30"/>
        </w:rPr>
      </w:pPr>
      <w:bookmarkStart w:id="1" w:name="_GoBack"/>
      <w:bookmarkEnd w:id="1"/>
      <w:bookmarkStart w:id="0" w:name="_Toc24724716"/>
      <w:r>
        <w:rPr>
          <w:rFonts w:hint="eastAsia" w:ascii="方正小标宋_GBK" w:hAnsi="方正小标宋_GBK" w:eastAsia="方正小标宋_GBK"/>
          <w:b w:val="0"/>
          <w:bCs w:val="0"/>
          <w:sz w:val="30"/>
        </w:rPr>
        <w:t>生态环境领域基层政务公开标准目录</w:t>
      </w:r>
      <w:bookmarkEnd w:id="0"/>
    </w:p>
    <w:tbl>
      <w:tblPr>
        <w:tblStyle w:val="3"/>
        <w:tblW w:w="15222"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900"/>
        <w:gridCol w:w="1962"/>
        <w:gridCol w:w="2205"/>
        <w:gridCol w:w="1500"/>
        <w:gridCol w:w="1290"/>
        <w:gridCol w:w="1770"/>
        <w:gridCol w:w="660"/>
        <w:gridCol w:w="780"/>
        <w:gridCol w:w="705"/>
        <w:gridCol w:w="765"/>
        <w:gridCol w:w="675"/>
        <w:gridCol w:w="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noWrap w:val="0"/>
            <w:vAlign w:val="center"/>
          </w:tcPr>
          <w:p>
            <w:pPr>
              <w:widowControl/>
              <w:jc w:val="center"/>
              <w:rPr>
                <w:rFonts w:ascii="Times New Roman" w:hAnsi="Times New Roman"/>
                <w:color w:val="000000"/>
                <w:kern w:val="0"/>
                <w:sz w:val="22"/>
              </w:rPr>
            </w:pPr>
            <w:r>
              <w:rPr>
                <w:rFonts w:ascii="Times New Roman" w:hAnsi="宋体"/>
                <w:color w:val="000000"/>
                <w:kern w:val="0"/>
                <w:sz w:val="22"/>
              </w:rPr>
              <w:t>序号</w:t>
            </w:r>
          </w:p>
        </w:tc>
        <w:tc>
          <w:tcPr>
            <w:tcW w:w="1620"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1962"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205"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50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29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770" w:type="dxa"/>
            <w:vMerge w:val="restart"/>
            <w:noWrap w:val="0"/>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40"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470"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25"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noWrap w:val="0"/>
            <w:vAlign w:val="center"/>
          </w:tcPr>
          <w:p>
            <w:pPr>
              <w:widowControl/>
              <w:jc w:val="left"/>
              <w:rPr>
                <w:rFonts w:ascii="Times New Roman" w:hAnsi="Times New Roman"/>
                <w:color w:val="000000"/>
                <w:kern w:val="0"/>
                <w:sz w:val="22"/>
              </w:rPr>
            </w:pP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90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1962" w:type="dxa"/>
            <w:vMerge w:val="continue"/>
            <w:noWrap w:val="0"/>
            <w:vAlign w:val="center"/>
          </w:tcPr>
          <w:p>
            <w:pPr>
              <w:widowControl/>
              <w:jc w:val="left"/>
              <w:rPr>
                <w:rFonts w:ascii="黑体" w:hAnsi="宋体" w:eastAsia="黑体" w:cs="宋体"/>
                <w:color w:val="000000"/>
                <w:kern w:val="0"/>
                <w:sz w:val="22"/>
              </w:rPr>
            </w:pPr>
          </w:p>
        </w:tc>
        <w:tc>
          <w:tcPr>
            <w:tcW w:w="2205" w:type="dxa"/>
            <w:vMerge w:val="continue"/>
            <w:noWrap w:val="0"/>
            <w:vAlign w:val="center"/>
          </w:tcPr>
          <w:p>
            <w:pPr>
              <w:widowControl/>
              <w:jc w:val="left"/>
              <w:rPr>
                <w:rFonts w:ascii="黑体" w:hAnsi="宋体" w:eastAsia="黑体" w:cs="宋体"/>
                <w:color w:val="000000"/>
                <w:kern w:val="0"/>
                <w:sz w:val="22"/>
              </w:rPr>
            </w:pPr>
          </w:p>
        </w:tc>
        <w:tc>
          <w:tcPr>
            <w:tcW w:w="1500" w:type="dxa"/>
            <w:vMerge w:val="continue"/>
            <w:noWrap w:val="0"/>
            <w:vAlign w:val="center"/>
          </w:tcPr>
          <w:p>
            <w:pPr>
              <w:widowControl/>
              <w:jc w:val="left"/>
              <w:rPr>
                <w:rFonts w:ascii="黑体" w:hAnsi="宋体" w:eastAsia="黑体" w:cs="宋体"/>
                <w:color w:val="000000"/>
                <w:kern w:val="0"/>
                <w:sz w:val="22"/>
              </w:rPr>
            </w:pPr>
          </w:p>
        </w:tc>
        <w:tc>
          <w:tcPr>
            <w:tcW w:w="1290" w:type="dxa"/>
            <w:vMerge w:val="continue"/>
            <w:noWrap w:val="0"/>
            <w:vAlign w:val="center"/>
          </w:tcPr>
          <w:p>
            <w:pPr>
              <w:widowControl/>
              <w:jc w:val="left"/>
              <w:rPr>
                <w:rFonts w:ascii="黑体" w:hAnsi="宋体" w:eastAsia="黑体" w:cs="宋体"/>
                <w:color w:val="000000"/>
                <w:kern w:val="0"/>
                <w:sz w:val="22"/>
              </w:rPr>
            </w:pPr>
          </w:p>
        </w:tc>
        <w:tc>
          <w:tcPr>
            <w:tcW w:w="1770" w:type="dxa"/>
            <w:vMerge w:val="continue"/>
            <w:noWrap w:val="0"/>
            <w:vAlign w:val="center"/>
          </w:tcPr>
          <w:p>
            <w:pPr>
              <w:widowControl/>
              <w:jc w:val="left"/>
              <w:rPr>
                <w:rFonts w:ascii="黑体" w:hAnsi="宋体" w:eastAsia="黑体" w:cs="宋体"/>
                <w:kern w:val="0"/>
                <w:sz w:val="22"/>
              </w:rPr>
            </w:pPr>
          </w:p>
        </w:tc>
        <w:tc>
          <w:tcPr>
            <w:tcW w:w="66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8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705"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65"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675"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5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pStyle w:val="5"/>
              <w:adjustRightInd w:val="0"/>
              <w:snapToGrid w:val="0"/>
              <w:ind w:firstLine="0" w:firstLineChars="0"/>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w:t>
            </w:r>
          </w:p>
        </w:tc>
        <w:tc>
          <w:tcPr>
            <w:tcW w:w="720" w:type="dxa"/>
            <w:noWrap w:val="0"/>
            <w:vAlign w:val="center"/>
          </w:tcPr>
          <w:p>
            <w:pPr>
              <w:adjustRightInd w:val="0"/>
              <w:snapToGrid w:val="0"/>
              <w:jc w:val="center"/>
              <w:rPr>
                <w:rFonts w:ascii="仿宋_GB2312" w:hAnsi="宋体" w:eastAsia="仿宋_GB2312"/>
                <w:color w:val="000000"/>
                <w:sz w:val="18"/>
                <w:szCs w:val="18"/>
              </w:rPr>
            </w:pPr>
            <w:r>
              <w:rPr>
                <w:rFonts w:hint="eastAsia" w:ascii="仿宋_GB2312" w:hAnsi="宋体" w:eastAsia="仿宋_GB2312"/>
                <w:color w:val="000000"/>
                <w:sz w:val="18"/>
                <w:szCs w:val="18"/>
              </w:rPr>
              <w:t>行政</w:t>
            </w:r>
            <w:r>
              <w:rPr>
                <w:rFonts w:ascii="仿宋_GB2312" w:hAnsi="宋体" w:eastAsia="仿宋_GB2312"/>
                <w:color w:val="000000"/>
                <w:sz w:val="18"/>
                <w:szCs w:val="18"/>
              </w:rPr>
              <w:br w:type="textWrapping"/>
            </w:r>
            <w:r>
              <w:rPr>
                <w:rFonts w:ascii="仿宋_GB2312" w:hAnsi="宋体" w:eastAsia="仿宋_GB2312"/>
                <w:color w:val="000000"/>
                <w:sz w:val="18"/>
                <w:szCs w:val="18"/>
              </w:rPr>
              <w:t>许可</w:t>
            </w:r>
          </w:p>
        </w:tc>
        <w:tc>
          <w:tcPr>
            <w:tcW w:w="900" w:type="dxa"/>
            <w:noWrap w:val="0"/>
            <w:vAlign w:val="center"/>
          </w:tcPr>
          <w:p>
            <w:pPr>
              <w:adjustRightInd w:val="0"/>
              <w:snapToGrid w:val="0"/>
              <w:jc w:val="center"/>
              <w:rPr>
                <w:rFonts w:ascii="仿宋_GB2312" w:hAnsi="宋体" w:eastAsia="仿宋_GB2312"/>
                <w:color w:val="000000"/>
                <w:sz w:val="18"/>
                <w:szCs w:val="18"/>
              </w:rPr>
            </w:pPr>
            <w:r>
              <w:rPr>
                <w:rFonts w:hint="eastAsia" w:ascii="仿宋_GB2312" w:hAnsi="宋体" w:eastAsia="仿宋_GB2312"/>
                <w:color w:val="000000"/>
                <w:sz w:val="18"/>
                <w:szCs w:val="18"/>
              </w:rPr>
              <w:t>建设项目环境影响评价文件审批</w:t>
            </w:r>
          </w:p>
        </w:tc>
        <w:tc>
          <w:tcPr>
            <w:tcW w:w="1962" w:type="dxa"/>
            <w:noWrap w:val="0"/>
            <w:vAlign w:val="center"/>
          </w:tcPr>
          <w:p>
            <w:pPr>
              <w:pStyle w:val="5"/>
              <w:adjustRightInd w:val="0"/>
              <w:snapToGrid w:val="0"/>
              <w:ind w:firstLine="0" w:firstLineChars="0"/>
              <w:rPr>
                <w:rFonts w:ascii="仿宋_GB2312" w:hAnsi="宋体" w:eastAsia="仿宋_GB2312"/>
                <w:color w:val="000000"/>
                <w:sz w:val="18"/>
                <w:szCs w:val="18"/>
              </w:rPr>
            </w:pPr>
            <w:r>
              <w:rPr>
                <w:rFonts w:hint="eastAsia" w:ascii="仿宋_GB2312" w:hAnsi="宋体" w:eastAsia="仿宋_GB2312"/>
                <w:color w:val="000000"/>
                <w:sz w:val="18"/>
                <w:szCs w:val="18"/>
              </w:rPr>
              <w:t>受理环节：受理情况公示、</w:t>
            </w:r>
            <w:r>
              <w:rPr>
                <w:rFonts w:ascii="仿宋_GB2312" w:hAnsi="宋体" w:eastAsia="仿宋_GB2312"/>
                <w:color w:val="000000"/>
                <w:sz w:val="18"/>
                <w:szCs w:val="18"/>
              </w:rPr>
              <w:t>报告书（</w:t>
            </w:r>
            <w:r>
              <w:rPr>
                <w:rFonts w:hint="eastAsia" w:ascii="仿宋_GB2312" w:hAnsi="宋体" w:eastAsia="仿宋_GB2312"/>
                <w:color w:val="000000"/>
                <w:sz w:val="18"/>
                <w:szCs w:val="18"/>
              </w:rPr>
              <w:t>表</w:t>
            </w:r>
            <w:r>
              <w:rPr>
                <w:rFonts w:ascii="仿宋_GB2312" w:hAnsi="宋体" w:eastAsia="仿宋_GB2312"/>
                <w:color w:val="000000"/>
                <w:sz w:val="18"/>
                <w:szCs w:val="18"/>
              </w:rPr>
              <w:t>）</w:t>
            </w:r>
            <w:r>
              <w:rPr>
                <w:rFonts w:hint="eastAsia" w:ascii="仿宋_GB2312" w:hAnsi="宋体" w:eastAsia="仿宋_GB2312"/>
                <w:color w:val="000000"/>
                <w:sz w:val="18"/>
                <w:szCs w:val="18"/>
              </w:rPr>
              <w:t>全本；拟决定环节：拟审查</w:t>
            </w:r>
            <w:r>
              <w:rPr>
                <w:rFonts w:ascii="仿宋_GB2312" w:hAnsi="宋体" w:eastAsia="仿宋_GB2312"/>
                <w:color w:val="000000"/>
                <w:sz w:val="18"/>
                <w:szCs w:val="18"/>
              </w:rPr>
              <w:t>环评文件基本情况公示</w:t>
            </w:r>
            <w:r>
              <w:rPr>
                <w:rFonts w:hint="eastAsia" w:ascii="仿宋_GB2312" w:hAnsi="宋体" w:eastAsia="仿宋_GB2312"/>
                <w:color w:val="000000"/>
                <w:sz w:val="18"/>
                <w:szCs w:val="18"/>
              </w:rPr>
              <w:t>；决定环节：环评批复</w:t>
            </w:r>
          </w:p>
        </w:tc>
        <w:tc>
          <w:tcPr>
            <w:tcW w:w="2205" w:type="dxa"/>
            <w:noWrap w:val="0"/>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《行政许可法》 《政府信息公开条例》 《中华人民共和国环境保护法》（中华人民共和国主席令 第九号） 《中华人民共和国环境影响评价法》（2018年12月29日第二次修正） 《国家环境保护总局建设项目环境影响评价文件审批程序规定》（2005年总局令第29号）</w:t>
            </w:r>
          </w:p>
        </w:tc>
        <w:tc>
          <w:tcPr>
            <w:tcW w:w="1500" w:type="dxa"/>
            <w:noWrap w:val="0"/>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自该信息形成或者变更之日起20个工作日内</w:t>
            </w:r>
          </w:p>
        </w:tc>
        <w:tc>
          <w:tcPr>
            <w:tcW w:w="1290" w:type="dxa"/>
            <w:noWrap w:val="0"/>
            <w:vAlign w:val="center"/>
          </w:tcPr>
          <w:p>
            <w:pPr>
              <w:adjustRightInd w:val="0"/>
              <w:snapToGrid w:val="0"/>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区政务服务中心</w:t>
            </w:r>
          </w:p>
        </w:tc>
        <w:tc>
          <w:tcPr>
            <w:tcW w:w="1770" w:type="dxa"/>
            <w:noWrap w:val="0"/>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sz w:val="18"/>
                <w:szCs w:val="18"/>
              </w:rPr>
              <w:t>■天津网上办事大厅</w:t>
            </w:r>
          </w:p>
        </w:tc>
        <w:tc>
          <w:tcPr>
            <w:tcW w:w="660" w:type="dxa"/>
            <w:noWrap w:val="0"/>
            <w:vAlign w:val="center"/>
          </w:tcPr>
          <w:p>
            <w:pPr>
              <w:adjustRightInd w:val="0"/>
              <w:snapToGrid w:val="0"/>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80" w:type="dxa"/>
            <w:noWrap w:val="0"/>
            <w:vAlign w:val="center"/>
          </w:tcPr>
          <w:p>
            <w:pPr>
              <w:adjustRightInd w:val="0"/>
              <w:snapToGrid w:val="0"/>
              <w:jc w:val="center"/>
              <w:rPr>
                <w:rFonts w:ascii="仿宋_GB2312" w:hAnsi="宋体" w:eastAsia="仿宋_GB2312"/>
                <w:color w:val="000000"/>
                <w:sz w:val="18"/>
                <w:szCs w:val="18"/>
              </w:rPr>
            </w:pPr>
          </w:p>
        </w:tc>
        <w:tc>
          <w:tcPr>
            <w:tcW w:w="705" w:type="dxa"/>
            <w:noWrap w:val="0"/>
            <w:vAlign w:val="center"/>
          </w:tcPr>
          <w:p>
            <w:pPr>
              <w:adjustRightInd w:val="0"/>
              <w:snapToGrid w:val="0"/>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65" w:type="dxa"/>
            <w:noWrap w:val="0"/>
            <w:vAlign w:val="center"/>
          </w:tcPr>
          <w:p>
            <w:pPr>
              <w:adjustRightInd w:val="0"/>
              <w:snapToGrid w:val="0"/>
              <w:jc w:val="center"/>
              <w:rPr>
                <w:rFonts w:ascii="仿宋_GB2312" w:hAnsi="宋体" w:eastAsia="仿宋_GB2312"/>
                <w:color w:val="000000"/>
                <w:sz w:val="18"/>
                <w:szCs w:val="18"/>
              </w:rPr>
            </w:pPr>
          </w:p>
        </w:tc>
        <w:tc>
          <w:tcPr>
            <w:tcW w:w="675" w:type="dxa"/>
            <w:noWrap w:val="0"/>
            <w:vAlign w:val="center"/>
          </w:tcPr>
          <w:p>
            <w:pPr>
              <w:widowControl/>
              <w:jc w:val="center"/>
              <w:rPr>
                <w:rFonts w:hint="eastAsia" w:ascii="仿宋_GB2312" w:hAnsi="宋体" w:eastAsia="仿宋_GB2312"/>
                <w:color w:val="000000"/>
                <w:sz w:val="18"/>
                <w:szCs w:val="18"/>
              </w:rPr>
            </w:pPr>
          </w:p>
        </w:tc>
        <w:tc>
          <w:tcPr>
            <w:tcW w:w="750" w:type="dxa"/>
            <w:noWrap w:val="0"/>
            <w:vAlign w:val="center"/>
          </w:tcPr>
          <w:p>
            <w:pPr>
              <w:widowControl/>
              <w:jc w:val="cente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pStyle w:val="5"/>
              <w:adjustRightInd w:val="0"/>
              <w:snapToGrid w:val="0"/>
              <w:ind w:firstLine="0" w:firstLineChars="0"/>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2</w:t>
            </w:r>
          </w:p>
        </w:tc>
        <w:tc>
          <w:tcPr>
            <w:tcW w:w="720" w:type="dxa"/>
            <w:noWrap w:val="0"/>
            <w:vAlign w:val="center"/>
          </w:tcPr>
          <w:p>
            <w:pPr>
              <w:adjustRightInd w:val="0"/>
              <w:snapToGrid w:val="0"/>
              <w:jc w:val="center"/>
              <w:rPr>
                <w:rFonts w:ascii="仿宋_GB2312" w:hAnsi="宋体" w:eastAsia="仿宋_GB2312"/>
                <w:color w:val="000000"/>
                <w:sz w:val="18"/>
                <w:szCs w:val="18"/>
              </w:rPr>
            </w:pPr>
            <w:r>
              <w:rPr>
                <w:rFonts w:hint="eastAsia" w:ascii="仿宋_GB2312" w:hAnsi="宋体" w:eastAsia="仿宋_GB2312"/>
                <w:color w:val="000000"/>
                <w:sz w:val="18"/>
                <w:szCs w:val="18"/>
              </w:rPr>
              <w:t>行政</w:t>
            </w:r>
            <w:r>
              <w:rPr>
                <w:rFonts w:ascii="仿宋_GB2312" w:hAnsi="宋体" w:eastAsia="仿宋_GB2312"/>
                <w:color w:val="000000"/>
                <w:sz w:val="18"/>
                <w:szCs w:val="18"/>
              </w:rPr>
              <w:br w:type="textWrapping"/>
            </w:r>
            <w:r>
              <w:rPr>
                <w:rFonts w:ascii="仿宋_GB2312" w:hAnsi="宋体" w:eastAsia="仿宋_GB2312"/>
                <w:color w:val="000000"/>
                <w:sz w:val="18"/>
                <w:szCs w:val="18"/>
              </w:rPr>
              <w:t>许可</w:t>
            </w:r>
          </w:p>
        </w:tc>
        <w:tc>
          <w:tcPr>
            <w:tcW w:w="900" w:type="dxa"/>
            <w:noWrap w:val="0"/>
            <w:vAlign w:val="center"/>
          </w:tcPr>
          <w:p>
            <w:pPr>
              <w:adjustRightInd w:val="0"/>
              <w:snapToGrid w:val="0"/>
              <w:jc w:val="center"/>
              <w:rPr>
                <w:rFonts w:ascii="仿宋_GB2312" w:hAnsi="宋体" w:eastAsia="仿宋_GB2312"/>
                <w:color w:val="000000"/>
                <w:sz w:val="18"/>
                <w:szCs w:val="18"/>
              </w:rPr>
            </w:pPr>
            <w:r>
              <w:rPr>
                <w:rFonts w:hint="eastAsia" w:ascii="仿宋_GB2312" w:hAnsi="宋体" w:eastAsia="仿宋_GB2312"/>
                <w:color w:val="000000"/>
                <w:sz w:val="18"/>
                <w:szCs w:val="18"/>
              </w:rPr>
              <w:t>防治污染</w:t>
            </w:r>
            <w:r>
              <w:rPr>
                <w:rFonts w:ascii="仿宋_GB2312" w:hAnsi="宋体" w:eastAsia="仿宋_GB2312"/>
                <w:color w:val="000000"/>
                <w:sz w:val="18"/>
                <w:szCs w:val="18"/>
              </w:rPr>
              <w:t>设施拆除或闲置审批</w:t>
            </w:r>
          </w:p>
        </w:tc>
        <w:tc>
          <w:tcPr>
            <w:tcW w:w="1962" w:type="dxa"/>
            <w:noWrap w:val="0"/>
            <w:vAlign w:val="center"/>
          </w:tcPr>
          <w:p>
            <w:pPr>
              <w:pStyle w:val="5"/>
              <w:adjustRightInd w:val="0"/>
              <w:snapToGrid w:val="0"/>
              <w:ind w:firstLine="0" w:firstLineChars="0"/>
              <w:rPr>
                <w:rFonts w:ascii="仿宋_GB2312" w:hAnsi="宋体" w:eastAsia="仿宋_GB2312"/>
                <w:color w:val="000000"/>
                <w:sz w:val="18"/>
                <w:szCs w:val="18"/>
              </w:rPr>
            </w:pPr>
            <w:r>
              <w:rPr>
                <w:rFonts w:hint="eastAsia" w:ascii="仿宋_GB2312" w:hAnsi="宋体" w:eastAsia="仿宋_GB2312"/>
                <w:color w:val="000000"/>
                <w:sz w:val="18"/>
                <w:szCs w:val="18"/>
              </w:rPr>
              <w:t>企业或单位关闭、闲置、拆除工业固体废物污染环境防治设施、场所的核准结果；企业或单位拆除、闲置环境噪声污染防治设施的审批结果</w:t>
            </w:r>
          </w:p>
        </w:tc>
        <w:tc>
          <w:tcPr>
            <w:tcW w:w="2205" w:type="dxa"/>
            <w:noWrap w:val="0"/>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《行政许可法》 《政府信息公开条例》 《中华人民共和国水污染防治法》（2017年修订） 《天津市大气污染防治条例》（2015年）</w:t>
            </w:r>
          </w:p>
        </w:tc>
        <w:tc>
          <w:tcPr>
            <w:tcW w:w="1500" w:type="dxa"/>
            <w:noWrap w:val="0"/>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自该信息形成或者变更之日起20个工作日内</w:t>
            </w:r>
          </w:p>
        </w:tc>
        <w:tc>
          <w:tcPr>
            <w:tcW w:w="1290" w:type="dxa"/>
            <w:noWrap w:val="0"/>
            <w:vAlign w:val="center"/>
          </w:tcPr>
          <w:p>
            <w:pPr>
              <w:adjustRightInd w:val="0"/>
              <w:snapToGrid w:val="0"/>
              <w:jc w:val="center"/>
              <w:rPr>
                <w:rFonts w:hint="eastAsia" w:ascii="仿宋_GB2312" w:hAnsi="宋体" w:eastAsia="仿宋_GB2312"/>
                <w:color w:val="000000"/>
                <w:kern w:val="2"/>
                <w:sz w:val="18"/>
                <w:szCs w:val="18"/>
                <w:lang w:val="en-US" w:eastAsia="zh-CN" w:bidi="ar-SA"/>
              </w:rPr>
            </w:pPr>
            <w:r>
              <w:rPr>
                <w:rFonts w:hint="eastAsia" w:ascii="仿宋_GB2312" w:hAnsi="宋体" w:eastAsia="仿宋_GB2312"/>
                <w:color w:val="000000"/>
                <w:sz w:val="18"/>
                <w:szCs w:val="18"/>
                <w:lang w:eastAsia="zh-CN"/>
              </w:rPr>
              <w:t>区政务服务中心</w:t>
            </w:r>
          </w:p>
        </w:tc>
        <w:tc>
          <w:tcPr>
            <w:tcW w:w="1770" w:type="dxa"/>
            <w:noWrap w:val="0"/>
            <w:vAlign w:val="center"/>
          </w:tcPr>
          <w:p>
            <w:pPr>
              <w:adjustRightInd w:val="0"/>
              <w:snapToGrid w:val="0"/>
              <w:rPr>
                <w:rFonts w:ascii="仿宋_GB2312" w:hAnsi="宋体" w:eastAsia="仿宋_GB2312"/>
                <w:color w:val="000000"/>
                <w:kern w:val="2"/>
                <w:sz w:val="18"/>
                <w:szCs w:val="18"/>
                <w:lang w:val="en-US" w:eastAsia="zh-CN" w:bidi="ar-SA"/>
              </w:rPr>
            </w:pPr>
            <w:r>
              <w:rPr>
                <w:rFonts w:hint="eastAsia" w:ascii="仿宋_GB2312" w:hAnsi="宋体" w:eastAsia="仿宋_GB2312"/>
                <w:sz w:val="18"/>
                <w:szCs w:val="18"/>
              </w:rPr>
              <w:t>■天津网上办事大厅</w:t>
            </w:r>
          </w:p>
        </w:tc>
        <w:tc>
          <w:tcPr>
            <w:tcW w:w="660" w:type="dxa"/>
            <w:noWrap w:val="0"/>
            <w:vAlign w:val="center"/>
          </w:tcPr>
          <w:p>
            <w:pPr>
              <w:adjustRightInd w:val="0"/>
              <w:snapToGrid w:val="0"/>
              <w:jc w:val="center"/>
              <w:rPr>
                <w:rFonts w:ascii="仿宋_GB2312" w:hAnsi="宋体" w:eastAsia="仿宋_GB2312"/>
                <w:color w:val="000000"/>
                <w:kern w:val="2"/>
                <w:sz w:val="18"/>
                <w:szCs w:val="18"/>
                <w:lang w:val="en-US" w:eastAsia="zh-CN" w:bidi="ar-SA"/>
              </w:rPr>
            </w:pPr>
            <w:r>
              <w:rPr>
                <w:rFonts w:ascii="仿宋_GB2312" w:hAnsi="宋体" w:eastAsia="仿宋_GB2312"/>
                <w:color w:val="000000"/>
                <w:sz w:val="18"/>
                <w:szCs w:val="18"/>
              </w:rPr>
              <w:t>√</w:t>
            </w:r>
          </w:p>
        </w:tc>
        <w:tc>
          <w:tcPr>
            <w:tcW w:w="780" w:type="dxa"/>
            <w:noWrap w:val="0"/>
            <w:vAlign w:val="center"/>
          </w:tcPr>
          <w:p>
            <w:pPr>
              <w:adjustRightInd w:val="0"/>
              <w:snapToGrid w:val="0"/>
              <w:jc w:val="center"/>
              <w:rPr>
                <w:rFonts w:ascii="仿宋_GB2312" w:hAnsi="宋体" w:eastAsia="仿宋_GB2312"/>
                <w:color w:val="000000"/>
                <w:kern w:val="2"/>
                <w:sz w:val="18"/>
                <w:szCs w:val="18"/>
                <w:lang w:val="en-US" w:eastAsia="zh-CN" w:bidi="ar-SA"/>
              </w:rPr>
            </w:pPr>
          </w:p>
        </w:tc>
        <w:tc>
          <w:tcPr>
            <w:tcW w:w="705" w:type="dxa"/>
            <w:noWrap w:val="0"/>
            <w:vAlign w:val="center"/>
          </w:tcPr>
          <w:p>
            <w:pPr>
              <w:adjustRightInd w:val="0"/>
              <w:snapToGrid w:val="0"/>
              <w:jc w:val="center"/>
              <w:rPr>
                <w:rFonts w:ascii="仿宋_GB2312" w:hAnsi="宋体" w:eastAsia="仿宋_GB2312"/>
                <w:color w:val="000000"/>
                <w:kern w:val="2"/>
                <w:sz w:val="18"/>
                <w:szCs w:val="18"/>
                <w:lang w:val="en-US" w:eastAsia="zh-CN" w:bidi="ar-SA"/>
              </w:rPr>
            </w:pPr>
            <w:r>
              <w:rPr>
                <w:rFonts w:ascii="仿宋_GB2312" w:hAnsi="宋体" w:eastAsia="仿宋_GB2312"/>
                <w:color w:val="000000"/>
                <w:sz w:val="18"/>
                <w:szCs w:val="18"/>
              </w:rPr>
              <w:t>√</w:t>
            </w:r>
          </w:p>
        </w:tc>
        <w:tc>
          <w:tcPr>
            <w:tcW w:w="765" w:type="dxa"/>
            <w:noWrap w:val="0"/>
            <w:vAlign w:val="center"/>
          </w:tcPr>
          <w:p>
            <w:pPr>
              <w:adjustRightInd w:val="0"/>
              <w:snapToGrid w:val="0"/>
              <w:jc w:val="center"/>
              <w:rPr>
                <w:rFonts w:ascii="仿宋_GB2312" w:hAnsi="宋体" w:eastAsia="仿宋_GB2312"/>
                <w:color w:val="000000"/>
                <w:kern w:val="2"/>
                <w:sz w:val="18"/>
                <w:szCs w:val="18"/>
                <w:lang w:val="en-US" w:eastAsia="zh-CN" w:bidi="ar-SA"/>
              </w:rPr>
            </w:pPr>
          </w:p>
        </w:tc>
        <w:tc>
          <w:tcPr>
            <w:tcW w:w="675" w:type="dxa"/>
            <w:noWrap w:val="0"/>
            <w:vAlign w:val="center"/>
          </w:tcPr>
          <w:p>
            <w:pPr>
              <w:widowControl/>
              <w:jc w:val="center"/>
              <w:rPr>
                <w:rFonts w:hint="eastAsia" w:ascii="仿宋_GB2312" w:hAnsi="宋体" w:eastAsia="仿宋_GB2312"/>
                <w:color w:val="000000"/>
                <w:kern w:val="2"/>
                <w:sz w:val="18"/>
                <w:szCs w:val="18"/>
                <w:lang w:val="en-US" w:eastAsia="zh-CN" w:bidi="ar-SA"/>
              </w:rPr>
            </w:pPr>
          </w:p>
        </w:tc>
        <w:tc>
          <w:tcPr>
            <w:tcW w:w="750" w:type="dxa"/>
            <w:noWrap w:val="0"/>
            <w:vAlign w:val="center"/>
          </w:tcPr>
          <w:p>
            <w:pPr>
              <w:widowControl/>
              <w:jc w:val="center"/>
              <w:rPr>
                <w:rFonts w:hint="eastAsia" w:ascii="仿宋_GB2312" w:hAnsi="宋体" w:eastAsia="仿宋_GB2312"/>
                <w:color w:val="000000"/>
                <w:kern w:val="2"/>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pStyle w:val="5"/>
              <w:adjustRightInd w:val="0"/>
              <w:snapToGrid w:val="0"/>
              <w:ind w:firstLine="0" w:firstLineChars="0"/>
              <w:jc w:val="center"/>
              <w:rPr>
                <w:rFonts w:hint="eastAsia"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3</w:t>
            </w:r>
          </w:p>
        </w:tc>
        <w:tc>
          <w:tcPr>
            <w:tcW w:w="720" w:type="dxa"/>
            <w:noWrap w:val="0"/>
            <w:vAlign w:val="center"/>
          </w:tcPr>
          <w:p>
            <w:pPr>
              <w:adjustRightInd w:val="0"/>
              <w:snapToGrid w:val="0"/>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行政</w:t>
            </w:r>
            <w:r>
              <w:rPr>
                <w:rFonts w:ascii="仿宋_GB2312" w:hAnsi="宋体" w:eastAsia="仿宋_GB2312"/>
                <w:color w:val="000000"/>
                <w:sz w:val="18"/>
                <w:szCs w:val="18"/>
              </w:rPr>
              <w:br w:type="textWrapping"/>
            </w:r>
            <w:r>
              <w:rPr>
                <w:rFonts w:ascii="仿宋_GB2312" w:hAnsi="宋体" w:eastAsia="仿宋_GB2312"/>
                <w:color w:val="000000"/>
                <w:sz w:val="18"/>
                <w:szCs w:val="18"/>
              </w:rPr>
              <w:t>许可</w:t>
            </w:r>
          </w:p>
        </w:tc>
        <w:tc>
          <w:tcPr>
            <w:tcW w:w="900" w:type="dxa"/>
            <w:noWrap w:val="0"/>
            <w:vAlign w:val="center"/>
          </w:tcPr>
          <w:p>
            <w:pPr>
              <w:adjustRightInd w:val="0"/>
              <w:snapToGrid w:val="0"/>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建设项目环境保护设施竣工验收</w:t>
            </w:r>
          </w:p>
        </w:tc>
        <w:tc>
          <w:tcPr>
            <w:tcW w:w="1962" w:type="dxa"/>
            <w:noWrap w:val="0"/>
            <w:vAlign w:val="center"/>
          </w:tcPr>
          <w:p>
            <w:pPr>
              <w:pStyle w:val="5"/>
              <w:adjustRightInd w:val="0"/>
              <w:snapToGrid w:val="0"/>
              <w:ind w:firstLine="0" w:firstLineChars="0"/>
              <w:rPr>
                <w:rFonts w:hint="eastAsia" w:ascii="仿宋_GB2312" w:hAnsi="宋体" w:eastAsia="仿宋_GB2312"/>
                <w:color w:val="000000"/>
                <w:sz w:val="18"/>
                <w:szCs w:val="18"/>
              </w:rPr>
            </w:pPr>
            <w:r>
              <w:rPr>
                <w:rFonts w:hint="eastAsia" w:ascii="仿宋_GB2312" w:hAnsi="宋体" w:eastAsia="仿宋_GB2312"/>
                <w:color w:val="000000"/>
                <w:sz w:val="18"/>
                <w:szCs w:val="18"/>
              </w:rPr>
              <w:t>1.法律法规和政策文件；</w:t>
            </w:r>
          </w:p>
          <w:p>
            <w:pPr>
              <w:pStyle w:val="5"/>
              <w:adjustRightInd w:val="0"/>
              <w:snapToGrid w:val="0"/>
              <w:ind w:firstLine="0" w:firstLineChars="0"/>
              <w:rPr>
                <w:rFonts w:hint="eastAsia" w:ascii="仿宋_GB2312" w:hAnsi="宋体" w:eastAsia="仿宋_GB2312"/>
                <w:color w:val="000000"/>
                <w:sz w:val="18"/>
                <w:szCs w:val="18"/>
              </w:rPr>
            </w:pPr>
            <w:r>
              <w:rPr>
                <w:rFonts w:hint="eastAsia" w:ascii="仿宋_GB2312" w:hAnsi="宋体" w:eastAsia="仿宋_GB2312"/>
                <w:color w:val="000000"/>
                <w:sz w:val="18"/>
                <w:szCs w:val="18"/>
              </w:rPr>
              <w:t>2.办事指南，包括：适用范围、事项类型、办理依据、办理部门、业务主管部门、办理条件、申请材料、办理基本流程、办理方式、审批时限、审批收费依据及标准、审批结果、咨询途径、监督和投诉渠道、办公地址和时间、公开查询方式等；</w:t>
            </w:r>
          </w:p>
          <w:p>
            <w:pPr>
              <w:pStyle w:val="5"/>
              <w:adjustRightInd w:val="0"/>
              <w:snapToGrid w:val="0"/>
              <w:ind w:firstLine="0" w:firstLineChars="0"/>
              <w:rPr>
                <w:rFonts w:hint="eastAsia" w:ascii="仿宋_GB2312" w:hAnsi="宋体" w:eastAsia="仿宋_GB2312"/>
                <w:color w:val="000000"/>
                <w:sz w:val="18"/>
                <w:szCs w:val="18"/>
              </w:rPr>
            </w:pPr>
            <w:r>
              <w:rPr>
                <w:rFonts w:hint="eastAsia" w:ascii="仿宋_GB2312" w:hAnsi="宋体" w:eastAsia="仿宋_GB2312"/>
                <w:color w:val="000000"/>
                <w:sz w:val="18"/>
                <w:szCs w:val="18"/>
              </w:rPr>
              <w:t>3.过程信息，根据实际情况适当公开受理、审核、审批、送达等相关信息。</w:t>
            </w:r>
          </w:p>
          <w:p>
            <w:pPr>
              <w:pStyle w:val="5"/>
              <w:adjustRightInd w:val="0"/>
              <w:snapToGrid w:val="0"/>
              <w:ind w:firstLine="0" w:firstLineChars="0"/>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4.行政许可决定书及相关许可证信息</w:t>
            </w:r>
          </w:p>
        </w:tc>
        <w:tc>
          <w:tcPr>
            <w:tcW w:w="2205" w:type="dxa"/>
            <w:noWrap w:val="0"/>
            <w:vAlign w:val="center"/>
          </w:tcPr>
          <w:p>
            <w:pPr>
              <w:adjustRightInd w:val="0"/>
              <w:snapToGrid w:val="0"/>
              <w:rPr>
                <w:rFonts w:hint="eastAsia" w:ascii="仿宋_GB2312" w:hAnsi="宋体" w:eastAsia="仿宋_GB2312"/>
                <w:color w:val="000000"/>
                <w:sz w:val="18"/>
                <w:szCs w:val="18"/>
              </w:rPr>
            </w:pPr>
            <w:r>
              <w:rPr>
                <w:rFonts w:hint="eastAsia" w:ascii="仿宋_GB2312" w:hAnsi="宋体" w:eastAsia="仿宋_GB2312"/>
                <w:color w:val="000000"/>
                <w:sz w:val="18"/>
                <w:szCs w:val="18"/>
              </w:rPr>
              <w:t>《行政许可法》 《政府信息公开条例》 《中华人民共和国环境噪声污染防治法》（1997年3月1日起施行） 《建设项目竣工环境保护验收管理办法》（环境保护总局令第13号，2010年修正） 《国家环境保护总局建设项目环境影响评价文件审批程序规定》（2005年总局令第29号）</w:t>
            </w:r>
          </w:p>
        </w:tc>
        <w:tc>
          <w:tcPr>
            <w:tcW w:w="1500" w:type="dxa"/>
            <w:noWrap w:val="0"/>
            <w:vAlign w:val="center"/>
          </w:tcPr>
          <w:p>
            <w:pPr>
              <w:adjustRightInd w:val="0"/>
              <w:snapToGrid w:val="0"/>
              <w:rPr>
                <w:rFonts w:hint="eastAsia" w:ascii="仿宋_GB2312" w:hAnsi="宋体" w:eastAsia="仿宋_GB2312"/>
                <w:color w:val="000000"/>
                <w:kern w:val="2"/>
                <w:sz w:val="18"/>
                <w:szCs w:val="18"/>
                <w:lang w:val="en-US" w:eastAsia="zh-CN" w:bidi="ar-SA"/>
              </w:rPr>
            </w:pPr>
            <w:r>
              <w:rPr>
                <w:rFonts w:hint="eastAsia" w:ascii="仿宋_GB2312" w:hAnsi="宋体" w:eastAsia="仿宋_GB2312"/>
                <w:color w:val="000000"/>
                <w:sz w:val="18"/>
                <w:szCs w:val="18"/>
              </w:rPr>
              <w:t>自该信息形成或者变更之日起20个工作日内</w:t>
            </w:r>
          </w:p>
        </w:tc>
        <w:tc>
          <w:tcPr>
            <w:tcW w:w="1290" w:type="dxa"/>
            <w:noWrap w:val="0"/>
            <w:vAlign w:val="center"/>
          </w:tcPr>
          <w:p>
            <w:pPr>
              <w:adjustRightInd w:val="0"/>
              <w:snapToGrid w:val="0"/>
              <w:jc w:val="center"/>
              <w:rPr>
                <w:rFonts w:hint="eastAsia" w:ascii="仿宋_GB2312" w:hAnsi="宋体" w:eastAsia="仿宋_GB2312"/>
                <w:color w:val="000000"/>
                <w:kern w:val="2"/>
                <w:sz w:val="18"/>
                <w:szCs w:val="18"/>
                <w:lang w:val="en-US" w:eastAsia="zh-CN" w:bidi="ar-SA"/>
              </w:rPr>
            </w:pPr>
            <w:r>
              <w:rPr>
                <w:rFonts w:hint="eastAsia" w:ascii="仿宋_GB2312" w:hAnsi="宋体" w:eastAsia="仿宋_GB2312"/>
                <w:color w:val="000000"/>
                <w:sz w:val="18"/>
                <w:szCs w:val="18"/>
                <w:lang w:eastAsia="zh-CN"/>
              </w:rPr>
              <w:t>区政务服务中心</w:t>
            </w:r>
          </w:p>
        </w:tc>
        <w:tc>
          <w:tcPr>
            <w:tcW w:w="1770" w:type="dxa"/>
            <w:noWrap w:val="0"/>
            <w:vAlign w:val="center"/>
          </w:tcPr>
          <w:p>
            <w:pPr>
              <w:adjustRightInd w:val="0"/>
              <w:snapToGrid w:val="0"/>
              <w:rPr>
                <w:rFonts w:hint="eastAsia" w:ascii="仿宋_GB2312" w:hAnsi="宋体" w:eastAsia="仿宋_GB2312"/>
                <w:color w:val="000000"/>
                <w:kern w:val="2"/>
                <w:sz w:val="18"/>
                <w:szCs w:val="18"/>
                <w:lang w:val="en-US" w:eastAsia="zh-CN" w:bidi="ar-SA"/>
              </w:rPr>
            </w:pPr>
            <w:r>
              <w:rPr>
                <w:rFonts w:hint="eastAsia" w:ascii="仿宋_GB2312" w:hAnsi="宋体" w:eastAsia="仿宋_GB2312"/>
                <w:sz w:val="18"/>
                <w:szCs w:val="18"/>
              </w:rPr>
              <w:t>■天津网上办事大厅</w:t>
            </w:r>
          </w:p>
        </w:tc>
        <w:tc>
          <w:tcPr>
            <w:tcW w:w="660" w:type="dxa"/>
            <w:noWrap w:val="0"/>
            <w:vAlign w:val="center"/>
          </w:tcPr>
          <w:p>
            <w:pPr>
              <w:adjustRightInd w:val="0"/>
              <w:snapToGrid w:val="0"/>
              <w:jc w:val="center"/>
              <w:rPr>
                <w:rFonts w:ascii="仿宋_GB2312" w:hAnsi="宋体" w:eastAsia="仿宋_GB2312"/>
                <w:color w:val="000000"/>
                <w:kern w:val="2"/>
                <w:sz w:val="18"/>
                <w:szCs w:val="18"/>
                <w:lang w:val="en-US" w:eastAsia="zh-CN" w:bidi="ar-SA"/>
              </w:rPr>
            </w:pPr>
            <w:r>
              <w:rPr>
                <w:rFonts w:ascii="仿宋_GB2312" w:hAnsi="宋体" w:eastAsia="仿宋_GB2312"/>
                <w:color w:val="000000"/>
                <w:sz w:val="18"/>
                <w:szCs w:val="18"/>
              </w:rPr>
              <w:t>√</w:t>
            </w:r>
          </w:p>
        </w:tc>
        <w:tc>
          <w:tcPr>
            <w:tcW w:w="780" w:type="dxa"/>
            <w:noWrap w:val="0"/>
            <w:vAlign w:val="center"/>
          </w:tcPr>
          <w:p>
            <w:pPr>
              <w:adjustRightInd w:val="0"/>
              <w:snapToGrid w:val="0"/>
              <w:jc w:val="center"/>
              <w:rPr>
                <w:rFonts w:ascii="仿宋_GB2312" w:hAnsi="宋体" w:eastAsia="仿宋_GB2312"/>
                <w:color w:val="000000"/>
                <w:kern w:val="2"/>
                <w:sz w:val="18"/>
                <w:szCs w:val="18"/>
                <w:lang w:val="en-US" w:eastAsia="zh-CN" w:bidi="ar-SA"/>
              </w:rPr>
            </w:pPr>
          </w:p>
        </w:tc>
        <w:tc>
          <w:tcPr>
            <w:tcW w:w="705" w:type="dxa"/>
            <w:noWrap w:val="0"/>
            <w:vAlign w:val="center"/>
          </w:tcPr>
          <w:p>
            <w:pPr>
              <w:adjustRightInd w:val="0"/>
              <w:snapToGrid w:val="0"/>
              <w:jc w:val="center"/>
              <w:rPr>
                <w:rFonts w:ascii="仿宋_GB2312" w:hAnsi="宋体" w:eastAsia="仿宋_GB2312"/>
                <w:color w:val="000000"/>
                <w:kern w:val="2"/>
                <w:sz w:val="18"/>
                <w:szCs w:val="18"/>
                <w:lang w:val="en-US" w:eastAsia="zh-CN" w:bidi="ar-SA"/>
              </w:rPr>
            </w:pPr>
            <w:r>
              <w:rPr>
                <w:rFonts w:ascii="仿宋_GB2312" w:hAnsi="宋体" w:eastAsia="仿宋_GB2312"/>
                <w:color w:val="000000"/>
                <w:sz w:val="18"/>
                <w:szCs w:val="18"/>
              </w:rPr>
              <w:t>√</w:t>
            </w:r>
          </w:p>
        </w:tc>
        <w:tc>
          <w:tcPr>
            <w:tcW w:w="765" w:type="dxa"/>
            <w:noWrap w:val="0"/>
            <w:vAlign w:val="center"/>
          </w:tcPr>
          <w:p>
            <w:pPr>
              <w:adjustRightInd w:val="0"/>
              <w:snapToGrid w:val="0"/>
              <w:jc w:val="center"/>
              <w:rPr>
                <w:rFonts w:ascii="仿宋_GB2312" w:hAnsi="宋体" w:eastAsia="仿宋_GB2312"/>
                <w:color w:val="000000"/>
                <w:kern w:val="2"/>
                <w:sz w:val="18"/>
                <w:szCs w:val="18"/>
                <w:lang w:val="en-US" w:eastAsia="zh-CN" w:bidi="ar-SA"/>
              </w:rPr>
            </w:pPr>
          </w:p>
        </w:tc>
        <w:tc>
          <w:tcPr>
            <w:tcW w:w="675" w:type="dxa"/>
            <w:noWrap w:val="0"/>
            <w:vAlign w:val="center"/>
          </w:tcPr>
          <w:p>
            <w:pPr>
              <w:widowControl/>
              <w:jc w:val="center"/>
              <w:rPr>
                <w:rFonts w:hint="eastAsia" w:ascii="仿宋_GB2312" w:hAnsi="宋体" w:eastAsia="仿宋_GB2312"/>
                <w:color w:val="000000"/>
                <w:kern w:val="2"/>
                <w:sz w:val="18"/>
                <w:szCs w:val="18"/>
                <w:lang w:val="en-US" w:eastAsia="zh-CN" w:bidi="ar-SA"/>
              </w:rPr>
            </w:pPr>
          </w:p>
        </w:tc>
        <w:tc>
          <w:tcPr>
            <w:tcW w:w="750" w:type="dxa"/>
            <w:noWrap w:val="0"/>
            <w:vAlign w:val="center"/>
          </w:tcPr>
          <w:p>
            <w:pPr>
              <w:widowControl/>
              <w:jc w:val="center"/>
              <w:rPr>
                <w:rFonts w:hint="eastAsia" w:ascii="仿宋_GB2312" w:hAnsi="宋体" w:eastAsia="仿宋_GB2312"/>
                <w:color w:val="000000"/>
                <w:kern w:val="2"/>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pStyle w:val="5"/>
              <w:adjustRightInd w:val="0"/>
              <w:snapToGrid w:val="0"/>
              <w:ind w:firstLine="0" w:firstLineChars="0"/>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4</w:t>
            </w:r>
          </w:p>
        </w:tc>
        <w:tc>
          <w:tcPr>
            <w:tcW w:w="720" w:type="dxa"/>
            <w:noWrap w:val="0"/>
            <w:vAlign w:val="center"/>
          </w:tcPr>
          <w:p>
            <w:pPr>
              <w:adjustRightInd w:val="0"/>
              <w:snapToGrid w:val="0"/>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行政</w:t>
            </w:r>
            <w:r>
              <w:rPr>
                <w:rFonts w:ascii="仿宋_GB2312" w:hAnsi="宋体" w:eastAsia="仿宋_GB2312"/>
                <w:color w:val="000000"/>
                <w:sz w:val="18"/>
                <w:szCs w:val="18"/>
              </w:rPr>
              <w:br w:type="textWrapping"/>
            </w:r>
            <w:r>
              <w:rPr>
                <w:rFonts w:ascii="仿宋_GB2312" w:hAnsi="宋体" w:eastAsia="仿宋_GB2312"/>
                <w:color w:val="000000"/>
                <w:sz w:val="18"/>
                <w:szCs w:val="18"/>
              </w:rPr>
              <w:t>许可</w:t>
            </w:r>
          </w:p>
        </w:tc>
        <w:tc>
          <w:tcPr>
            <w:tcW w:w="900" w:type="dxa"/>
            <w:noWrap w:val="0"/>
            <w:vAlign w:val="center"/>
          </w:tcPr>
          <w:p>
            <w:pPr>
              <w:adjustRightInd w:val="0"/>
              <w:snapToGrid w:val="0"/>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排污许可证</w:t>
            </w:r>
          </w:p>
        </w:tc>
        <w:tc>
          <w:tcPr>
            <w:tcW w:w="1962" w:type="dxa"/>
            <w:noWrap w:val="0"/>
            <w:vAlign w:val="center"/>
          </w:tcPr>
          <w:p>
            <w:pPr>
              <w:pStyle w:val="5"/>
              <w:adjustRightInd w:val="0"/>
              <w:snapToGrid w:val="0"/>
              <w:ind w:firstLine="0" w:firstLineChars="0"/>
              <w:rPr>
                <w:rFonts w:hint="eastAsia" w:ascii="仿宋_GB2312" w:hAnsi="宋体" w:eastAsia="仿宋_GB2312"/>
                <w:color w:val="000000"/>
                <w:sz w:val="18"/>
                <w:szCs w:val="18"/>
              </w:rPr>
            </w:pPr>
            <w:r>
              <w:rPr>
                <w:rFonts w:hint="eastAsia" w:ascii="仿宋_GB2312" w:hAnsi="宋体" w:eastAsia="仿宋_GB2312"/>
                <w:color w:val="000000"/>
                <w:sz w:val="18"/>
                <w:szCs w:val="18"/>
              </w:rPr>
              <w:t>1.法律法规和政策文件；</w:t>
            </w:r>
          </w:p>
          <w:p>
            <w:pPr>
              <w:pStyle w:val="5"/>
              <w:adjustRightInd w:val="0"/>
              <w:snapToGrid w:val="0"/>
              <w:ind w:firstLine="0" w:firstLineChars="0"/>
              <w:rPr>
                <w:rFonts w:hint="eastAsia" w:ascii="仿宋_GB2312" w:hAnsi="宋体" w:eastAsia="仿宋_GB2312"/>
                <w:color w:val="000000"/>
                <w:sz w:val="18"/>
                <w:szCs w:val="18"/>
              </w:rPr>
            </w:pPr>
            <w:r>
              <w:rPr>
                <w:rFonts w:hint="eastAsia" w:ascii="仿宋_GB2312" w:hAnsi="宋体" w:eastAsia="仿宋_GB2312"/>
                <w:color w:val="000000"/>
                <w:sz w:val="18"/>
                <w:szCs w:val="18"/>
              </w:rPr>
              <w:t>2.办事指南，包括：适用范围、事项类型、办理依据、办理部门、业务主管部门、办理条件、申请材料、办理基本流程、办理方式、审批时限、审批收费依据及标准、审批结果、咨询途径、监督和投诉渠道、办公地址和时间、公开查询方式等；</w:t>
            </w:r>
          </w:p>
          <w:p>
            <w:pPr>
              <w:pStyle w:val="5"/>
              <w:adjustRightInd w:val="0"/>
              <w:snapToGrid w:val="0"/>
              <w:ind w:firstLine="0" w:firstLineChars="0"/>
              <w:rPr>
                <w:rFonts w:hint="eastAsia" w:ascii="仿宋_GB2312" w:hAnsi="宋体" w:eastAsia="仿宋_GB2312"/>
                <w:color w:val="000000"/>
                <w:sz w:val="18"/>
                <w:szCs w:val="18"/>
              </w:rPr>
            </w:pPr>
            <w:r>
              <w:rPr>
                <w:rFonts w:hint="eastAsia" w:ascii="仿宋_GB2312" w:hAnsi="宋体" w:eastAsia="仿宋_GB2312"/>
                <w:color w:val="000000"/>
                <w:sz w:val="18"/>
                <w:szCs w:val="18"/>
              </w:rPr>
              <w:t>3.过程信息，根据实际情况适当公开受理、审核、审批、送达等相关信息。</w:t>
            </w:r>
          </w:p>
          <w:p>
            <w:pPr>
              <w:pStyle w:val="5"/>
              <w:adjustRightInd w:val="0"/>
              <w:snapToGrid w:val="0"/>
              <w:ind w:firstLine="0" w:firstLineChars="0"/>
              <w:rPr>
                <w:rFonts w:hint="eastAsia"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4.行政许可决定书及相关许可证信息</w:t>
            </w:r>
          </w:p>
        </w:tc>
        <w:tc>
          <w:tcPr>
            <w:tcW w:w="2205" w:type="dxa"/>
            <w:noWrap w:val="0"/>
            <w:vAlign w:val="center"/>
          </w:tcPr>
          <w:p>
            <w:pPr>
              <w:adjustRightInd w:val="0"/>
              <w:snapToGrid w:val="0"/>
              <w:rPr>
                <w:rFonts w:hint="eastAsia" w:ascii="仿宋_GB2312" w:hAnsi="宋体" w:eastAsia="仿宋_GB2312"/>
                <w:color w:val="000000"/>
                <w:sz w:val="18"/>
                <w:szCs w:val="18"/>
              </w:rPr>
            </w:pPr>
            <w:r>
              <w:rPr>
                <w:rFonts w:hint="eastAsia" w:ascii="仿宋_GB2312" w:hAnsi="宋体" w:eastAsia="仿宋_GB2312"/>
                <w:color w:val="000000"/>
                <w:sz w:val="18"/>
                <w:szCs w:val="18"/>
              </w:rPr>
              <w:t>《行政许可法》 《政府信息公开条例》《中华人民共和国水污染防治法》（2017年修正） 《中华人民共和国环境保护法》（主席令第22号，2014年修订） 《中华人民共和国大气污染防治法》（主席令31号，2015年修订） 《中华人民共和国水污染防治法实施细则》（2000年国务院令第284号） 《国务院办公厅关于印发控制污染物排放许可制实施方案的通知》（国办发〔2016〕81号） 《排污许可管理办法（试行）》（2018年环境保护部令第48号） 《排污许可证管理暂行规定》（环水体[2016]186号）</w:t>
            </w:r>
          </w:p>
        </w:tc>
        <w:tc>
          <w:tcPr>
            <w:tcW w:w="1500" w:type="dxa"/>
            <w:noWrap w:val="0"/>
            <w:vAlign w:val="center"/>
          </w:tcPr>
          <w:p>
            <w:pPr>
              <w:adjustRightInd w:val="0"/>
              <w:snapToGrid w:val="0"/>
              <w:rPr>
                <w:rFonts w:hint="eastAsia" w:ascii="仿宋_GB2312" w:hAnsi="宋体" w:eastAsia="仿宋_GB2312"/>
                <w:color w:val="000000"/>
                <w:kern w:val="2"/>
                <w:sz w:val="18"/>
                <w:szCs w:val="18"/>
                <w:lang w:val="en-US" w:eastAsia="zh-CN" w:bidi="ar-SA"/>
              </w:rPr>
            </w:pPr>
            <w:r>
              <w:rPr>
                <w:rFonts w:hint="eastAsia" w:ascii="仿宋_GB2312" w:hAnsi="宋体" w:eastAsia="仿宋_GB2312"/>
                <w:color w:val="000000"/>
                <w:sz w:val="18"/>
                <w:szCs w:val="18"/>
              </w:rPr>
              <w:t>自该信息形成或者变更之日起20个工作日内</w:t>
            </w:r>
          </w:p>
        </w:tc>
        <w:tc>
          <w:tcPr>
            <w:tcW w:w="1290" w:type="dxa"/>
            <w:noWrap w:val="0"/>
            <w:vAlign w:val="center"/>
          </w:tcPr>
          <w:p>
            <w:pPr>
              <w:adjustRightInd w:val="0"/>
              <w:snapToGrid w:val="0"/>
              <w:jc w:val="center"/>
              <w:rPr>
                <w:rFonts w:hint="eastAsia" w:ascii="仿宋_GB2312" w:hAnsi="宋体" w:eastAsia="仿宋_GB2312"/>
                <w:color w:val="000000"/>
                <w:kern w:val="2"/>
                <w:sz w:val="18"/>
                <w:szCs w:val="18"/>
                <w:lang w:val="en-US" w:eastAsia="zh-CN" w:bidi="ar-SA"/>
              </w:rPr>
            </w:pPr>
            <w:r>
              <w:rPr>
                <w:rFonts w:hint="eastAsia" w:ascii="仿宋_GB2312" w:hAnsi="宋体" w:eastAsia="仿宋_GB2312"/>
                <w:color w:val="000000"/>
                <w:sz w:val="18"/>
                <w:szCs w:val="18"/>
                <w:lang w:eastAsia="zh-CN"/>
              </w:rPr>
              <w:t>区政务服务中心</w:t>
            </w:r>
          </w:p>
        </w:tc>
        <w:tc>
          <w:tcPr>
            <w:tcW w:w="1770" w:type="dxa"/>
            <w:noWrap w:val="0"/>
            <w:vAlign w:val="center"/>
          </w:tcPr>
          <w:p>
            <w:pPr>
              <w:adjustRightInd w:val="0"/>
              <w:snapToGrid w:val="0"/>
              <w:rPr>
                <w:rFonts w:hint="eastAsia" w:ascii="仿宋_GB2312" w:hAnsi="宋体" w:eastAsia="仿宋_GB2312"/>
                <w:color w:val="000000"/>
                <w:kern w:val="2"/>
                <w:sz w:val="18"/>
                <w:szCs w:val="18"/>
                <w:lang w:val="en-US" w:eastAsia="zh-CN" w:bidi="ar-SA"/>
              </w:rPr>
            </w:pPr>
            <w:r>
              <w:rPr>
                <w:rFonts w:hint="eastAsia" w:ascii="仿宋_GB2312" w:hAnsi="宋体" w:eastAsia="仿宋_GB2312"/>
                <w:sz w:val="18"/>
                <w:szCs w:val="18"/>
              </w:rPr>
              <w:t>■天津网上办事大厅</w:t>
            </w:r>
          </w:p>
        </w:tc>
        <w:tc>
          <w:tcPr>
            <w:tcW w:w="660" w:type="dxa"/>
            <w:noWrap w:val="0"/>
            <w:vAlign w:val="center"/>
          </w:tcPr>
          <w:p>
            <w:pPr>
              <w:adjustRightInd w:val="0"/>
              <w:snapToGrid w:val="0"/>
              <w:jc w:val="center"/>
              <w:rPr>
                <w:rFonts w:ascii="仿宋_GB2312" w:hAnsi="宋体" w:eastAsia="仿宋_GB2312"/>
                <w:color w:val="000000"/>
                <w:kern w:val="2"/>
                <w:sz w:val="18"/>
                <w:szCs w:val="18"/>
                <w:lang w:val="en-US" w:eastAsia="zh-CN" w:bidi="ar-SA"/>
              </w:rPr>
            </w:pPr>
            <w:r>
              <w:rPr>
                <w:rFonts w:ascii="仿宋_GB2312" w:hAnsi="宋体" w:eastAsia="仿宋_GB2312"/>
                <w:color w:val="000000"/>
                <w:sz w:val="18"/>
                <w:szCs w:val="18"/>
              </w:rPr>
              <w:t>√</w:t>
            </w:r>
          </w:p>
        </w:tc>
        <w:tc>
          <w:tcPr>
            <w:tcW w:w="780" w:type="dxa"/>
            <w:noWrap w:val="0"/>
            <w:vAlign w:val="center"/>
          </w:tcPr>
          <w:p>
            <w:pPr>
              <w:adjustRightInd w:val="0"/>
              <w:snapToGrid w:val="0"/>
              <w:jc w:val="center"/>
              <w:rPr>
                <w:rFonts w:ascii="仿宋_GB2312" w:hAnsi="宋体" w:eastAsia="仿宋_GB2312"/>
                <w:color w:val="000000"/>
                <w:kern w:val="2"/>
                <w:sz w:val="18"/>
                <w:szCs w:val="18"/>
                <w:lang w:val="en-US" w:eastAsia="zh-CN" w:bidi="ar-SA"/>
              </w:rPr>
            </w:pPr>
          </w:p>
        </w:tc>
        <w:tc>
          <w:tcPr>
            <w:tcW w:w="705" w:type="dxa"/>
            <w:noWrap w:val="0"/>
            <w:vAlign w:val="center"/>
          </w:tcPr>
          <w:p>
            <w:pPr>
              <w:adjustRightInd w:val="0"/>
              <w:snapToGrid w:val="0"/>
              <w:jc w:val="center"/>
              <w:rPr>
                <w:rFonts w:ascii="仿宋_GB2312" w:hAnsi="宋体" w:eastAsia="仿宋_GB2312"/>
                <w:color w:val="000000"/>
                <w:kern w:val="2"/>
                <w:sz w:val="18"/>
                <w:szCs w:val="18"/>
                <w:lang w:val="en-US" w:eastAsia="zh-CN" w:bidi="ar-SA"/>
              </w:rPr>
            </w:pPr>
            <w:r>
              <w:rPr>
                <w:rFonts w:ascii="仿宋_GB2312" w:hAnsi="宋体" w:eastAsia="仿宋_GB2312"/>
                <w:color w:val="000000"/>
                <w:sz w:val="18"/>
                <w:szCs w:val="18"/>
              </w:rPr>
              <w:t>√</w:t>
            </w:r>
          </w:p>
        </w:tc>
        <w:tc>
          <w:tcPr>
            <w:tcW w:w="765" w:type="dxa"/>
            <w:noWrap w:val="0"/>
            <w:vAlign w:val="center"/>
          </w:tcPr>
          <w:p>
            <w:pPr>
              <w:adjustRightInd w:val="0"/>
              <w:snapToGrid w:val="0"/>
              <w:jc w:val="center"/>
              <w:rPr>
                <w:rFonts w:ascii="仿宋_GB2312" w:hAnsi="宋体" w:eastAsia="仿宋_GB2312"/>
                <w:color w:val="000000"/>
                <w:kern w:val="2"/>
                <w:sz w:val="18"/>
                <w:szCs w:val="18"/>
                <w:lang w:val="en-US" w:eastAsia="zh-CN" w:bidi="ar-SA"/>
              </w:rPr>
            </w:pPr>
          </w:p>
        </w:tc>
        <w:tc>
          <w:tcPr>
            <w:tcW w:w="675" w:type="dxa"/>
            <w:noWrap w:val="0"/>
            <w:vAlign w:val="center"/>
          </w:tcPr>
          <w:p>
            <w:pPr>
              <w:widowControl/>
              <w:jc w:val="center"/>
              <w:rPr>
                <w:rFonts w:hint="eastAsia" w:ascii="仿宋_GB2312" w:hAnsi="宋体" w:eastAsia="仿宋_GB2312"/>
                <w:color w:val="000000"/>
                <w:kern w:val="2"/>
                <w:sz w:val="18"/>
                <w:szCs w:val="18"/>
                <w:lang w:val="en-US" w:eastAsia="zh-CN" w:bidi="ar-SA"/>
              </w:rPr>
            </w:pPr>
          </w:p>
        </w:tc>
        <w:tc>
          <w:tcPr>
            <w:tcW w:w="750" w:type="dxa"/>
            <w:noWrap w:val="0"/>
            <w:vAlign w:val="center"/>
          </w:tcPr>
          <w:p>
            <w:pPr>
              <w:widowControl/>
              <w:jc w:val="center"/>
              <w:rPr>
                <w:rFonts w:hint="eastAsia" w:ascii="仿宋_GB2312" w:hAnsi="宋体" w:eastAsia="仿宋_GB2312"/>
                <w:color w:val="000000"/>
                <w:kern w:val="2"/>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pStyle w:val="5"/>
              <w:adjustRightInd w:val="0"/>
              <w:snapToGrid w:val="0"/>
              <w:ind w:firstLine="0" w:firstLineChars="0"/>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5</w:t>
            </w:r>
          </w:p>
        </w:tc>
        <w:tc>
          <w:tcPr>
            <w:tcW w:w="720" w:type="dxa"/>
            <w:noWrap w:val="0"/>
            <w:vAlign w:val="center"/>
          </w:tcPr>
          <w:p>
            <w:pPr>
              <w:adjustRightInd w:val="0"/>
              <w:snapToGrid w:val="0"/>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行政</w:t>
            </w:r>
            <w:r>
              <w:rPr>
                <w:rFonts w:ascii="仿宋_GB2312" w:hAnsi="宋体" w:eastAsia="仿宋_GB2312"/>
                <w:color w:val="000000"/>
                <w:sz w:val="18"/>
                <w:szCs w:val="18"/>
              </w:rPr>
              <w:br w:type="textWrapping"/>
            </w:r>
            <w:r>
              <w:rPr>
                <w:rFonts w:ascii="仿宋_GB2312" w:hAnsi="宋体" w:eastAsia="仿宋_GB2312"/>
                <w:color w:val="000000"/>
                <w:sz w:val="18"/>
                <w:szCs w:val="18"/>
              </w:rPr>
              <w:t>许可</w:t>
            </w:r>
          </w:p>
        </w:tc>
        <w:tc>
          <w:tcPr>
            <w:tcW w:w="900" w:type="dxa"/>
            <w:noWrap w:val="0"/>
            <w:vAlign w:val="center"/>
          </w:tcPr>
          <w:p>
            <w:pPr>
              <w:adjustRightInd w:val="0"/>
              <w:snapToGrid w:val="0"/>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辐射安全许可（市级部分权限委托实施）</w:t>
            </w:r>
          </w:p>
        </w:tc>
        <w:tc>
          <w:tcPr>
            <w:tcW w:w="1962" w:type="dxa"/>
            <w:noWrap w:val="0"/>
            <w:vAlign w:val="center"/>
          </w:tcPr>
          <w:p>
            <w:pPr>
              <w:pStyle w:val="5"/>
              <w:adjustRightInd w:val="0"/>
              <w:snapToGrid w:val="0"/>
              <w:ind w:firstLine="0" w:firstLineChars="0"/>
              <w:rPr>
                <w:rFonts w:hint="eastAsia" w:ascii="仿宋_GB2312" w:hAnsi="宋体" w:eastAsia="仿宋_GB2312"/>
                <w:color w:val="000000"/>
                <w:sz w:val="18"/>
                <w:szCs w:val="18"/>
              </w:rPr>
            </w:pPr>
            <w:r>
              <w:rPr>
                <w:rFonts w:hint="eastAsia" w:ascii="仿宋_GB2312" w:hAnsi="宋体" w:eastAsia="仿宋_GB2312"/>
                <w:color w:val="000000"/>
                <w:sz w:val="18"/>
                <w:szCs w:val="18"/>
              </w:rPr>
              <w:t>1.法律法规和政策文件；</w:t>
            </w:r>
          </w:p>
          <w:p>
            <w:pPr>
              <w:pStyle w:val="5"/>
              <w:adjustRightInd w:val="0"/>
              <w:snapToGrid w:val="0"/>
              <w:ind w:firstLine="0" w:firstLineChars="0"/>
              <w:rPr>
                <w:rFonts w:hint="eastAsia" w:ascii="仿宋_GB2312" w:hAnsi="宋体" w:eastAsia="仿宋_GB2312"/>
                <w:color w:val="000000"/>
                <w:sz w:val="18"/>
                <w:szCs w:val="18"/>
              </w:rPr>
            </w:pPr>
            <w:r>
              <w:rPr>
                <w:rFonts w:hint="eastAsia" w:ascii="仿宋_GB2312" w:hAnsi="宋体" w:eastAsia="仿宋_GB2312"/>
                <w:color w:val="000000"/>
                <w:sz w:val="18"/>
                <w:szCs w:val="18"/>
              </w:rPr>
              <w:t>2.办事指南，包括：适用范围、事项类型、办理依据、办理部门、业务主管部门、办理条件、申请材料、办理基本流程、办理方式、审批时限、审批收费依据及标准、审批结果、咨询途径、监督和投诉渠道、办公地址和时间、公开查询方式等；</w:t>
            </w:r>
          </w:p>
          <w:p>
            <w:pPr>
              <w:pStyle w:val="5"/>
              <w:adjustRightInd w:val="0"/>
              <w:snapToGrid w:val="0"/>
              <w:ind w:firstLine="0" w:firstLineChars="0"/>
              <w:rPr>
                <w:rFonts w:hint="eastAsia" w:ascii="仿宋_GB2312" w:hAnsi="宋体" w:eastAsia="仿宋_GB2312"/>
                <w:color w:val="000000"/>
                <w:sz w:val="18"/>
                <w:szCs w:val="18"/>
              </w:rPr>
            </w:pPr>
            <w:r>
              <w:rPr>
                <w:rFonts w:hint="eastAsia" w:ascii="仿宋_GB2312" w:hAnsi="宋体" w:eastAsia="仿宋_GB2312"/>
                <w:color w:val="000000"/>
                <w:sz w:val="18"/>
                <w:szCs w:val="18"/>
              </w:rPr>
              <w:t>3.过程信息，根据实际情况适当公开受理、审核、审批、送达等相关信息。</w:t>
            </w:r>
          </w:p>
          <w:p>
            <w:pPr>
              <w:pStyle w:val="5"/>
              <w:adjustRightInd w:val="0"/>
              <w:snapToGrid w:val="0"/>
              <w:ind w:firstLine="0" w:firstLineChars="0"/>
              <w:rPr>
                <w:rFonts w:hint="eastAsia"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4.行政许可决定书及相关许可证信息</w:t>
            </w:r>
          </w:p>
        </w:tc>
        <w:tc>
          <w:tcPr>
            <w:tcW w:w="2205" w:type="dxa"/>
            <w:noWrap w:val="0"/>
            <w:vAlign w:val="center"/>
          </w:tcPr>
          <w:p>
            <w:pPr>
              <w:adjustRightInd w:val="0"/>
              <w:snapToGrid w:val="0"/>
              <w:rPr>
                <w:rFonts w:hint="eastAsia" w:ascii="仿宋_GB2312" w:hAnsi="宋体" w:eastAsia="仿宋_GB2312"/>
                <w:color w:val="000000"/>
                <w:sz w:val="18"/>
                <w:szCs w:val="18"/>
              </w:rPr>
            </w:pPr>
            <w:r>
              <w:rPr>
                <w:rFonts w:hint="eastAsia" w:ascii="仿宋_GB2312" w:hAnsi="宋体" w:eastAsia="仿宋_GB2312"/>
                <w:color w:val="000000"/>
                <w:sz w:val="18"/>
                <w:szCs w:val="18"/>
              </w:rPr>
              <w:t>《行政许可法》 《政府信息公开条例》 《中华人民共和国放射性污染防治法》（2003年） 《国务院关于取消和下放一批行政审批项目的决定》（国发〔2014〕5号） 《放射性同位素与射线装置安全和防护条例》（2005年国务院令第449号） 《放射性同位素与射线装置安全许可管理办法》（国家环境保护总局令第31号，2008年修正）</w:t>
            </w:r>
          </w:p>
        </w:tc>
        <w:tc>
          <w:tcPr>
            <w:tcW w:w="1500" w:type="dxa"/>
            <w:noWrap w:val="0"/>
            <w:vAlign w:val="center"/>
          </w:tcPr>
          <w:p>
            <w:pPr>
              <w:adjustRightInd w:val="0"/>
              <w:snapToGrid w:val="0"/>
              <w:rPr>
                <w:rFonts w:hint="eastAsia" w:ascii="仿宋_GB2312" w:hAnsi="宋体" w:eastAsia="仿宋_GB2312"/>
                <w:color w:val="000000"/>
                <w:kern w:val="2"/>
                <w:sz w:val="18"/>
                <w:szCs w:val="18"/>
                <w:lang w:val="en-US" w:eastAsia="zh-CN" w:bidi="ar-SA"/>
              </w:rPr>
            </w:pPr>
            <w:r>
              <w:rPr>
                <w:rFonts w:hint="eastAsia" w:ascii="仿宋_GB2312" w:hAnsi="宋体" w:eastAsia="仿宋_GB2312"/>
                <w:color w:val="000000"/>
                <w:sz w:val="18"/>
                <w:szCs w:val="18"/>
              </w:rPr>
              <w:t>自该信息形成或者变更之日起20个工作日内</w:t>
            </w:r>
          </w:p>
        </w:tc>
        <w:tc>
          <w:tcPr>
            <w:tcW w:w="1290" w:type="dxa"/>
            <w:noWrap w:val="0"/>
            <w:vAlign w:val="center"/>
          </w:tcPr>
          <w:p>
            <w:pPr>
              <w:adjustRightInd w:val="0"/>
              <w:snapToGrid w:val="0"/>
              <w:jc w:val="center"/>
              <w:rPr>
                <w:rFonts w:hint="eastAsia" w:ascii="仿宋_GB2312" w:hAnsi="宋体" w:eastAsia="仿宋_GB2312"/>
                <w:color w:val="000000"/>
                <w:kern w:val="2"/>
                <w:sz w:val="18"/>
                <w:szCs w:val="18"/>
                <w:lang w:val="en-US" w:eastAsia="zh-CN" w:bidi="ar-SA"/>
              </w:rPr>
            </w:pPr>
            <w:r>
              <w:rPr>
                <w:rFonts w:hint="eastAsia" w:ascii="仿宋_GB2312" w:hAnsi="宋体" w:eastAsia="仿宋_GB2312"/>
                <w:color w:val="000000"/>
                <w:sz w:val="18"/>
                <w:szCs w:val="18"/>
                <w:lang w:eastAsia="zh-CN"/>
              </w:rPr>
              <w:t>区政务服务中心</w:t>
            </w:r>
          </w:p>
        </w:tc>
        <w:tc>
          <w:tcPr>
            <w:tcW w:w="1770" w:type="dxa"/>
            <w:noWrap w:val="0"/>
            <w:vAlign w:val="center"/>
          </w:tcPr>
          <w:p>
            <w:pPr>
              <w:adjustRightInd w:val="0"/>
              <w:snapToGrid w:val="0"/>
              <w:rPr>
                <w:rFonts w:hint="eastAsia" w:ascii="仿宋_GB2312" w:hAnsi="宋体" w:eastAsia="仿宋_GB2312"/>
                <w:color w:val="000000"/>
                <w:kern w:val="2"/>
                <w:sz w:val="18"/>
                <w:szCs w:val="18"/>
                <w:lang w:val="en-US" w:eastAsia="zh-CN" w:bidi="ar-SA"/>
              </w:rPr>
            </w:pPr>
            <w:r>
              <w:rPr>
                <w:rFonts w:hint="eastAsia" w:ascii="仿宋_GB2312" w:hAnsi="宋体" w:eastAsia="仿宋_GB2312"/>
                <w:sz w:val="18"/>
                <w:szCs w:val="18"/>
              </w:rPr>
              <w:t>■天津网上办事大厅</w:t>
            </w:r>
          </w:p>
        </w:tc>
        <w:tc>
          <w:tcPr>
            <w:tcW w:w="660" w:type="dxa"/>
            <w:noWrap w:val="0"/>
            <w:vAlign w:val="center"/>
          </w:tcPr>
          <w:p>
            <w:pPr>
              <w:adjustRightInd w:val="0"/>
              <w:snapToGrid w:val="0"/>
              <w:jc w:val="center"/>
              <w:rPr>
                <w:rFonts w:ascii="仿宋_GB2312" w:hAnsi="宋体" w:eastAsia="仿宋_GB2312"/>
                <w:color w:val="000000"/>
                <w:kern w:val="2"/>
                <w:sz w:val="18"/>
                <w:szCs w:val="18"/>
                <w:lang w:val="en-US" w:eastAsia="zh-CN" w:bidi="ar-SA"/>
              </w:rPr>
            </w:pPr>
            <w:r>
              <w:rPr>
                <w:rFonts w:ascii="仿宋_GB2312" w:hAnsi="宋体" w:eastAsia="仿宋_GB2312"/>
                <w:color w:val="000000"/>
                <w:sz w:val="18"/>
                <w:szCs w:val="18"/>
              </w:rPr>
              <w:t>√</w:t>
            </w:r>
          </w:p>
        </w:tc>
        <w:tc>
          <w:tcPr>
            <w:tcW w:w="780" w:type="dxa"/>
            <w:noWrap w:val="0"/>
            <w:vAlign w:val="center"/>
          </w:tcPr>
          <w:p>
            <w:pPr>
              <w:adjustRightInd w:val="0"/>
              <w:snapToGrid w:val="0"/>
              <w:jc w:val="center"/>
              <w:rPr>
                <w:rFonts w:ascii="仿宋_GB2312" w:hAnsi="宋体" w:eastAsia="仿宋_GB2312"/>
                <w:color w:val="000000"/>
                <w:kern w:val="2"/>
                <w:sz w:val="18"/>
                <w:szCs w:val="18"/>
                <w:lang w:val="en-US" w:eastAsia="zh-CN" w:bidi="ar-SA"/>
              </w:rPr>
            </w:pPr>
          </w:p>
        </w:tc>
        <w:tc>
          <w:tcPr>
            <w:tcW w:w="705" w:type="dxa"/>
            <w:noWrap w:val="0"/>
            <w:vAlign w:val="center"/>
          </w:tcPr>
          <w:p>
            <w:pPr>
              <w:adjustRightInd w:val="0"/>
              <w:snapToGrid w:val="0"/>
              <w:jc w:val="center"/>
              <w:rPr>
                <w:rFonts w:ascii="仿宋_GB2312" w:hAnsi="宋体" w:eastAsia="仿宋_GB2312"/>
                <w:color w:val="000000"/>
                <w:kern w:val="2"/>
                <w:sz w:val="18"/>
                <w:szCs w:val="18"/>
                <w:lang w:val="en-US" w:eastAsia="zh-CN" w:bidi="ar-SA"/>
              </w:rPr>
            </w:pPr>
            <w:r>
              <w:rPr>
                <w:rFonts w:ascii="仿宋_GB2312" w:hAnsi="宋体" w:eastAsia="仿宋_GB2312"/>
                <w:color w:val="000000"/>
                <w:sz w:val="18"/>
                <w:szCs w:val="18"/>
              </w:rPr>
              <w:t>√</w:t>
            </w:r>
          </w:p>
        </w:tc>
        <w:tc>
          <w:tcPr>
            <w:tcW w:w="765" w:type="dxa"/>
            <w:noWrap w:val="0"/>
            <w:vAlign w:val="center"/>
          </w:tcPr>
          <w:p>
            <w:pPr>
              <w:adjustRightInd w:val="0"/>
              <w:snapToGrid w:val="0"/>
              <w:jc w:val="center"/>
              <w:rPr>
                <w:rFonts w:ascii="仿宋_GB2312" w:hAnsi="宋体" w:eastAsia="仿宋_GB2312"/>
                <w:color w:val="000000"/>
                <w:kern w:val="2"/>
                <w:sz w:val="18"/>
                <w:szCs w:val="18"/>
                <w:lang w:val="en-US" w:eastAsia="zh-CN" w:bidi="ar-SA"/>
              </w:rPr>
            </w:pPr>
          </w:p>
        </w:tc>
        <w:tc>
          <w:tcPr>
            <w:tcW w:w="675" w:type="dxa"/>
            <w:noWrap w:val="0"/>
            <w:vAlign w:val="center"/>
          </w:tcPr>
          <w:p>
            <w:pPr>
              <w:widowControl/>
              <w:jc w:val="center"/>
              <w:rPr>
                <w:rFonts w:hint="eastAsia" w:ascii="仿宋_GB2312" w:hAnsi="宋体" w:eastAsia="仿宋_GB2312"/>
                <w:color w:val="000000"/>
                <w:kern w:val="2"/>
                <w:sz w:val="18"/>
                <w:szCs w:val="18"/>
                <w:lang w:val="en-US" w:eastAsia="zh-CN" w:bidi="ar-SA"/>
              </w:rPr>
            </w:pPr>
          </w:p>
        </w:tc>
        <w:tc>
          <w:tcPr>
            <w:tcW w:w="750" w:type="dxa"/>
            <w:noWrap w:val="0"/>
            <w:vAlign w:val="center"/>
          </w:tcPr>
          <w:p>
            <w:pPr>
              <w:widowControl/>
              <w:jc w:val="center"/>
              <w:rPr>
                <w:rFonts w:hint="eastAsia" w:ascii="仿宋_GB2312" w:hAnsi="宋体" w:eastAsia="仿宋_GB2312"/>
                <w:color w:val="000000"/>
                <w:kern w:val="2"/>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pStyle w:val="5"/>
              <w:adjustRightInd w:val="0"/>
              <w:snapToGrid w:val="0"/>
              <w:ind w:firstLine="0" w:firstLineChars="0"/>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6</w:t>
            </w:r>
          </w:p>
        </w:tc>
        <w:tc>
          <w:tcPr>
            <w:tcW w:w="720" w:type="dxa"/>
            <w:noWrap w:val="0"/>
            <w:vAlign w:val="center"/>
          </w:tcPr>
          <w:p>
            <w:pPr>
              <w:adjustRightInd w:val="0"/>
              <w:snapToGrid w:val="0"/>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行政</w:t>
            </w:r>
            <w:r>
              <w:rPr>
                <w:rFonts w:ascii="仿宋_GB2312" w:hAnsi="宋体" w:eastAsia="仿宋_GB2312"/>
                <w:color w:val="000000"/>
                <w:sz w:val="18"/>
                <w:szCs w:val="18"/>
              </w:rPr>
              <w:br w:type="textWrapping"/>
            </w:r>
            <w:r>
              <w:rPr>
                <w:rFonts w:ascii="仿宋_GB2312" w:hAnsi="宋体" w:eastAsia="仿宋_GB2312"/>
                <w:color w:val="000000"/>
                <w:sz w:val="18"/>
                <w:szCs w:val="18"/>
              </w:rPr>
              <w:t>许可</w:t>
            </w:r>
          </w:p>
        </w:tc>
        <w:tc>
          <w:tcPr>
            <w:tcW w:w="900" w:type="dxa"/>
            <w:noWrap w:val="0"/>
            <w:vAlign w:val="center"/>
          </w:tcPr>
          <w:p>
            <w:pPr>
              <w:adjustRightInd w:val="0"/>
              <w:snapToGrid w:val="0"/>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工业固体废物污染环境防治设施、场所的关闭、闲置或者拆除核准</w:t>
            </w:r>
          </w:p>
        </w:tc>
        <w:tc>
          <w:tcPr>
            <w:tcW w:w="1962" w:type="dxa"/>
            <w:noWrap w:val="0"/>
            <w:vAlign w:val="center"/>
          </w:tcPr>
          <w:p>
            <w:pPr>
              <w:pStyle w:val="5"/>
              <w:adjustRightInd w:val="0"/>
              <w:snapToGrid w:val="0"/>
              <w:ind w:firstLine="0" w:firstLineChars="0"/>
              <w:rPr>
                <w:rFonts w:hint="eastAsia" w:ascii="仿宋_GB2312" w:hAnsi="宋体" w:eastAsia="仿宋_GB2312"/>
                <w:color w:val="000000"/>
                <w:sz w:val="18"/>
                <w:szCs w:val="18"/>
              </w:rPr>
            </w:pPr>
            <w:r>
              <w:rPr>
                <w:rFonts w:hint="eastAsia" w:ascii="仿宋_GB2312" w:hAnsi="宋体" w:eastAsia="仿宋_GB2312"/>
                <w:color w:val="000000"/>
                <w:sz w:val="18"/>
                <w:szCs w:val="18"/>
              </w:rPr>
              <w:t>1.法律法规和政策文件；</w:t>
            </w:r>
          </w:p>
          <w:p>
            <w:pPr>
              <w:pStyle w:val="5"/>
              <w:adjustRightInd w:val="0"/>
              <w:snapToGrid w:val="0"/>
              <w:ind w:firstLine="0" w:firstLineChars="0"/>
              <w:rPr>
                <w:rFonts w:hint="eastAsia" w:ascii="仿宋_GB2312" w:hAnsi="宋体" w:eastAsia="仿宋_GB2312"/>
                <w:color w:val="000000"/>
                <w:sz w:val="18"/>
                <w:szCs w:val="18"/>
              </w:rPr>
            </w:pPr>
            <w:r>
              <w:rPr>
                <w:rFonts w:hint="eastAsia" w:ascii="仿宋_GB2312" w:hAnsi="宋体" w:eastAsia="仿宋_GB2312"/>
                <w:color w:val="000000"/>
                <w:sz w:val="18"/>
                <w:szCs w:val="18"/>
              </w:rPr>
              <w:t>2.办事指南，包括：适用范围、事项类型、办理依据、办理部门、业务主管部门、办理条件、申请材料、办理基本流程、办理方式、审批时限、审批收费依据及标准、审批结果、咨询途径、监督和投诉渠道、办公地址和时间、公开查询方式等；</w:t>
            </w:r>
          </w:p>
          <w:p>
            <w:pPr>
              <w:pStyle w:val="5"/>
              <w:adjustRightInd w:val="0"/>
              <w:snapToGrid w:val="0"/>
              <w:ind w:firstLine="0" w:firstLineChars="0"/>
              <w:rPr>
                <w:rFonts w:hint="eastAsia" w:ascii="仿宋_GB2312" w:hAnsi="宋体" w:eastAsia="仿宋_GB2312"/>
                <w:color w:val="000000"/>
                <w:sz w:val="18"/>
                <w:szCs w:val="18"/>
              </w:rPr>
            </w:pPr>
            <w:r>
              <w:rPr>
                <w:rFonts w:hint="eastAsia" w:ascii="仿宋_GB2312" w:hAnsi="宋体" w:eastAsia="仿宋_GB2312"/>
                <w:color w:val="000000"/>
                <w:sz w:val="18"/>
                <w:szCs w:val="18"/>
              </w:rPr>
              <w:t>3.过程信息，根据实际情况适当公开受理、审核、审批、送达等相关信息。</w:t>
            </w:r>
          </w:p>
          <w:p>
            <w:pPr>
              <w:pStyle w:val="5"/>
              <w:adjustRightInd w:val="0"/>
              <w:snapToGrid w:val="0"/>
              <w:ind w:firstLine="0" w:firstLineChars="0"/>
              <w:rPr>
                <w:rFonts w:hint="eastAsia"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4.行政许可决定书及相关许可证信息</w:t>
            </w:r>
          </w:p>
        </w:tc>
        <w:tc>
          <w:tcPr>
            <w:tcW w:w="2205" w:type="dxa"/>
            <w:noWrap w:val="0"/>
            <w:vAlign w:val="center"/>
          </w:tcPr>
          <w:p>
            <w:pPr>
              <w:adjustRightInd w:val="0"/>
              <w:snapToGrid w:val="0"/>
              <w:rPr>
                <w:rFonts w:hint="eastAsia" w:ascii="仿宋_GB2312" w:hAnsi="宋体" w:eastAsia="仿宋_GB2312"/>
                <w:color w:val="000000"/>
                <w:sz w:val="18"/>
                <w:szCs w:val="18"/>
              </w:rPr>
            </w:pPr>
            <w:r>
              <w:rPr>
                <w:rFonts w:hint="eastAsia" w:ascii="仿宋_GB2312" w:hAnsi="宋体" w:eastAsia="仿宋_GB2312"/>
                <w:color w:val="000000"/>
                <w:sz w:val="18"/>
                <w:szCs w:val="18"/>
              </w:rPr>
              <w:t>《行政许可法》 《政府信息公开条例》 《中华人民共和国固体废物污染环境防治法》（2016年修正）</w:t>
            </w:r>
          </w:p>
        </w:tc>
        <w:tc>
          <w:tcPr>
            <w:tcW w:w="1500" w:type="dxa"/>
            <w:noWrap w:val="0"/>
            <w:vAlign w:val="center"/>
          </w:tcPr>
          <w:p>
            <w:pPr>
              <w:adjustRightInd w:val="0"/>
              <w:snapToGrid w:val="0"/>
              <w:rPr>
                <w:rFonts w:hint="eastAsia" w:ascii="仿宋_GB2312" w:hAnsi="宋体" w:eastAsia="仿宋_GB2312"/>
                <w:color w:val="000000"/>
                <w:kern w:val="2"/>
                <w:sz w:val="18"/>
                <w:szCs w:val="18"/>
                <w:lang w:val="en-US" w:eastAsia="zh-CN" w:bidi="ar-SA"/>
              </w:rPr>
            </w:pPr>
            <w:r>
              <w:rPr>
                <w:rFonts w:hint="eastAsia" w:ascii="仿宋_GB2312" w:hAnsi="宋体" w:eastAsia="仿宋_GB2312"/>
                <w:color w:val="000000"/>
                <w:sz w:val="18"/>
                <w:szCs w:val="18"/>
              </w:rPr>
              <w:t>自该信息形成或者变更之日起20个工作日内</w:t>
            </w:r>
          </w:p>
        </w:tc>
        <w:tc>
          <w:tcPr>
            <w:tcW w:w="1290" w:type="dxa"/>
            <w:noWrap w:val="0"/>
            <w:vAlign w:val="center"/>
          </w:tcPr>
          <w:p>
            <w:pPr>
              <w:adjustRightInd w:val="0"/>
              <w:snapToGrid w:val="0"/>
              <w:jc w:val="center"/>
              <w:rPr>
                <w:rFonts w:hint="eastAsia" w:ascii="仿宋_GB2312" w:hAnsi="宋体" w:eastAsia="仿宋_GB2312"/>
                <w:color w:val="000000"/>
                <w:kern w:val="2"/>
                <w:sz w:val="18"/>
                <w:szCs w:val="18"/>
                <w:lang w:val="en-US" w:eastAsia="zh-CN" w:bidi="ar-SA"/>
              </w:rPr>
            </w:pPr>
            <w:r>
              <w:rPr>
                <w:rFonts w:hint="eastAsia" w:ascii="仿宋_GB2312" w:hAnsi="宋体" w:eastAsia="仿宋_GB2312"/>
                <w:color w:val="000000"/>
                <w:sz w:val="18"/>
                <w:szCs w:val="18"/>
                <w:lang w:eastAsia="zh-CN"/>
              </w:rPr>
              <w:t>区政务服务中心</w:t>
            </w:r>
          </w:p>
        </w:tc>
        <w:tc>
          <w:tcPr>
            <w:tcW w:w="1770" w:type="dxa"/>
            <w:noWrap w:val="0"/>
            <w:vAlign w:val="center"/>
          </w:tcPr>
          <w:p>
            <w:pPr>
              <w:adjustRightInd w:val="0"/>
              <w:snapToGrid w:val="0"/>
              <w:rPr>
                <w:rFonts w:hint="eastAsia" w:ascii="仿宋_GB2312" w:hAnsi="宋体" w:eastAsia="仿宋_GB2312"/>
                <w:color w:val="000000"/>
                <w:kern w:val="2"/>
                <w:sz w:val="18"/>
                <w:szCs w:val="18"/>
                <w:lang w:val="en-US" w:eastAsia="zh-CN" w:bidi="ar-SA"/>
              </w:rPr>
            </w:pPr>
            <w:r>
              <w:rPr>
                <w:rFonts w:hint="eastAsia" w:ascii="仿宋_GB2312" w:hAnsi="宋体" w:eastAsia="仿宋_GB2312"/>
                <w:sz w:val="18"/>
                <w:szCs w:val="18"/>
              </w:rPr>
              <w:t>■天津网上办事大厅</w:t>
            </w:r>
          </w:p>
        </w:tc>
        <w:tc>
          <w:tcPr>
            <w:tcW w:w="660" w:type="dxa"/>
            <w:noWrap w:val="0"/>
            <w:vAlign w:val="center"/>
          </w:tcPr>
          <w:p>
            <w:pPr>
              <w:adjustRightInd w:val="0"/>
              <w:snapToGrid w:val="0"/>
              <w:jc w:val="center"/>
              <w:rPr>
                <w:rFonts w:ascii="仿宋_GB2312" w:hAnsi="宋体" w:eastAsia="仿宋_GB2312"/>
                <w:color w:val="000000"/>
                <w:kern w:val="2"/>
                <w:sz w:val="18"/>
                <w:szCs w:val="18"/>
                <w:lang w:val="en-US" w:eastAsia="zh-CN" w:bidi="ar-SA"/>
              </w:rPr>
            </w:pPr>
            <w:r>
              <w:rPr>
                <w:rFonts w:ascii="仿宋_GB2312" w:hAnsi="宋体" w:eastAsia="仿宋_GB2312"/>
                <w:color w:val="000000"/>
                <w:sz w:val="18"/>
                <w:szCs w:val="18"/>
              </w:rPr>
              <w:t>√</w:t>
            </w:r>
          </w:p>
        </w:tc>
        <w:tc>
          <w:tcPr>
            <w:tcW w:w="780" w:type="dxa"/>
            <w:noWrap w:val="0"/>
            <w:vAlign w:val="center"/>
          </w:tcPr>
          <w:p>
            <w:pPr>
              <w:adjustRightInd w:val="0"/>
              <w:snapToGrid w:val="0"/>
              <w:jc w:val="center"/>
              <w:rPr>
                <w:rFonts w:ascii="仿宋_GB2312" w:hAnsi="宋体" w:eastAsia="仿宋_GB2312"/>
                <w:color w:val="000000"/>
                <w:kern w:val="2"/>
                <w:sz w:val="18"/>
                <w:szCs w:val="18"/>
                <w:lang w:val="en-US" w:eastAsia="zh-CN" w:bidi="ar-SA"/>
              </w:rPr>
            </w:pPr>
          </w:p>
        </w:tc>
        <w:tc>
          <w:tcPr>
            <w:tcW w:w="705" w:type="dxa"/>
            <w:noWrap w:val="0"/>
            <w:vAlign w:val="center"/>
          </w:tcPr>
          <w:p>
            <w:pPr>
              <w:adjustRightInd w:val="0"/>
              <w:snapToGrid w:val="0"/>
              <w:jc w:val="center"/>
              <w:rPr>
                <w:rFonts w:ascii="仿宋_GB2312" w:hAnsi="宋体" w:eastAsia="仿宋_GB2312"/>
                <w:color w:val="000000"/>
                <w:kern w:val="2"/>
                <w:sz w:val="18"/>
                <w:szCs w:val="18"/>
                <w:lang w:val="en-US" w:eastAsia="zh-CN" w:bidi="ar-SA"/>
              </w:rPr>
            </w:pPr>
            <w:r>
              <w:rPr>
                <w:rFonts w:ascii="仿宋_GB2312" w:hAnsi="宋体" w:eastAsia="仿宋_GB2312"/>
                <w:color w:val="000000"/>
                <w:sz w:val="18"/>
                <w:szCs w:val="18"/>
              </w:rPr>
              <w:t>√</w:t>
            </w:r>
          </w:p>
        </w:tc>
        <w:tc>
          <w:tcPr>
            <w:tcW w:w="765" w:type="dxa"/>
            <w:noWrap w:val="0"/>
            <w:vAlign w:val="center"/>
          </w:tcPr>
          <w:p>
            <w:pPr>
              <w:adjustRightInd w:val="0"/>
              <w:snapToGrid w:val="0"/>
              <w:jc w:val="center"/>
              <w:rPr>
                <w:rFonts w:ascii="仿宋_GB2312" w:hAnsi="宋体" w:eastAsia="仿宋_GB2312"/>
                <w:color w:val="000000"/>
                <w:kern w:val="2"/>
                <w:sz w:val="18"/>
                <w:szCs w:val="18"/>
                <w:lang w:val="en-US" w:eastAsia="zh-CN" w:bidi="ar-SA"/>
              </w:rPr>
            </w:pPr>
          </w:p>
        </w:tc>
        <w:tc>
          <w:tcPr>
            <w:tcW w:w="675" w:type="dxa"/>
            <w:noWrap w:val="0"/>
            <w:vAlign w:val="center"/>
          </w:tcPr>
          <w:p>
            <w:pPr>
              <w:widowControl/>
              <w:jc w:val="center"/>
              <w:rPr>
                <w:rFonts w:hint="eastAsia" w:ascii="仿宋_GB2312" w:hAnsi="宋体" w:eastAsia="仿宋_GB2312"/>
                <w:color w:val="000000"/>
                <w:kern w:val="2"/>
                <w:sz w:val="18"/>
                <w:szCs w:val="18"/>
                <w:lang w:val="en-US" w:eastAsia="zh-CN" w:bidi="ar-SA"/>
              </w:rPr>
            </w:pPr>
          </w:p>
        </w:tc>
        <w:tc>
          <w:tcPr>
            <w:tcW w:w="750" w:type="dxa"/>
            <w:noWrap w:val="0"/>
            <w:vAlign w:val="center"/>
          </w:tcPr>
          <w:p>
            <w:pPr>
              <w:widowControl/>
              <w:jc w:val="center"/>
              <w:rPr>
                <w:rFonts w:hint="eastAsia" w:ascii="仿宋_GB2312" w:hAnsi="宋体" w:eastAsia="仿宋_GB2312"/>
                <w:color w:val="000000"/>
                <w:kern w:val="2"/>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pStyle w:val="5"/>
              <w:adjustRightInd w:val="0"/>
              <w:snapToGrid w:val="0"/>
              <w:ind w:firstLine="0" w:firstLineChars="0"/>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7</w:t>
            </w:r>
          </w:p>
        </w:tc>
        <w:tc>
          <w:tcPr>
            <w:tcW w:w="720" w:type="dxa"/>
            <w:noWrap w:val="0"/>
            <w:vAlign w:val="center"/>
          </w:tcPr>
          <w:p>
            <w:pPr>
              <w:adjustRightInd w:val="0"/>
              <w:snapToGrid w:val="0"/>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行政</w:t>
            </w:r>
            <w:r>
              <w:rPr>
                <w:rFonts w:ascii="仿宋_GB2312" w:hAnsi="宋体" w:eastAsia="仿宋_GB2312"/>
                <w:color w:val="000000"/>
                <w:sz w:val="18"/>
                <w:szCs w:val="18"/>
              </w:rPr>
              <w:br w:type="textWrapping"/>
            </w:r>
            <w:r>
              <w:rPr>
                <w:rFonts w:ascii="仿宋_GB2312" w:hAnsi="宋体" w:eastAsia="仿宋_GB2312"/>
                <w:color w:val="000000"/>
                <w:sz w:val="18"/>
                <w:szCs w:val="18"/>
              </w:rPr>
              <w:t>许可</w:t>
            </w:r>
          </w:p>
        </w:tc>
        <w:tc>
          <w:tcPr>
            <w:tcW w:w="900" w:type="dxa"/>
            <w:noWrap w:val="0"/>
            <w:vAlign w:val="center"/>
          </w:tcPr>
          <w:p>
            <w:pPr>
              <w:adjustRightInd w:val="0"/>
              <w:snapToGrid w:val="0"/>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从事机动车维修活动中生产的废矿物油和居民日常生活中产生的废镍镉电池的危险废物收集经营许可</w:t>
            </w:r>
          </w:p>
        </w:tc>
        <w:tc>
          <w:tcPr>
            <w:tcW w:w="1962" w:type="dxa"/>
            <w:noWrap w:val="0"/>
            <w:vAlign w:val="center"/>
          </w:tcPr>
          <w:p>
            <w:pPr>
              <w:pStyle w:val="5"/>
              <w:adjustRightInd w:val="0"/>
              <w:snapToGrid w:val="0"/>
              <w:ind w:firstLine="0" w:firstLineChars="0"/>
              <w:rPr>
                <w:rFonts w:hint="eastAsia" w:ascii="仿宋_GB2312" w:hAnsi="宋体" w:eastAsia="仿宋_GB2312"/>
                <w:color w:val="000000"/>
                <w:sz w:val="18"/>
                <w:szCs w:val="18"/>
              </w:rPr>
            </w:pPr>
            <w:r>
              <w:rPr>
                <w:rFonts w:hint="eastAsia" w:ascii="仿宋_GB2312" w:hAnsi="宋体" w:eastAsia="仿宋_GB2312"/>
                <w:color w:val="000000"/>
                <w:sz w:val="18"/>
                <w:szCs w:val="18"/>
              </w:rPr>
              <w:t>1.法律法规和政策文件；</w:t>
            </w:r>
          </w:p>
          <w:p>
            <w:pPr>
              <w:pStyle w:val="5"/>
              <w:adjustRightInd w:val="0"/>
              <w:snapToGrid w:val="0"/>
              <w:ind w:firstLine="0" w:firstLineChars="0"/>
              <w:rPr>
                <w:rFonts w:hint="eastAsia" w:ascii="仿宋_GB2312" w:hAnsi="宋体" w:eastAsia="仿宋_GB2312"/>
                <w:color w:val="000000"/>
                <w:sz w:val="18"/>
                <w:szCs w:val="18"/>
              </w:rPr>
            </w:pPr>
            <w:r>
              <w:rPr>
                <w:rFonts w:hint="eastAsia" w:ascii="仿宋_GB2312" w:hAnsi="宋体" w:eastAsia="仿宋_GB2312"/>
                <w:color w:val="000000"/>
                <w:sz w:val="18"/>
                <w:szCs w:val="18"/>
              </w:rPr>
              <w:t>2.办事指南，包括：适用范围、事项类型、办理依据、办理部门、业务主管部门、办理条件、申请材料、办理基本流程、办理方式、审批时限、审批收费依据及标准、审批结果、咨询途径、监督和投诉渠道、办公地址和时间、公开查询方式等；</w:t>
            </w:r>
          </w:p>
          <w:p>
            <w:pPr>
              <w:pStyle w:val="5"/>
              <w:adjustRightInd w:val="0"/>
              <w:snapToGrid w:val="0"/>
              <w:ind w:firstLine="0" w:firstLineChars="0"/>
              <w:rPr>
                <w:rFonts w:hint="eastAsia" w:ascii="仿宋_GB2312" w:hAnsi="宋体" w:eastAsia="仿宋_GB2312"/>
                <w:color w:val="000000"/>
                <w:sz w:val="18"/>
                <w:szCs w:val="18"/>
              </w:rPr>
            </w:pPr>
            <w:r>
              <w:rPr>
                <w:rFonts w:hint="eastAsia" w:ascii="仿宋_GB2312" w:hAnsi="宋体" w:eastAsia="仿宋_GB2312"/>
                <w:color w:val="000000"/>
                <w:sz w:val="18"/>
                <w:szCs w:val="18"/>
              </w:rPr>
              <w:t>3.过程信息，根据实际情况适当公开受理、审核、审批、送达等相关信息。</w:t>
            </w:r>
          </w:p>
          <w:p>
            <w:pPr>
              <w:pStyle w:val="5"/>
              <w:adjustRightInd w:val="0"/>
              <w:snapToGrid w:val="0"/>
              <w:ind w:firstLine="0" w:firstLineChars="0"/>
              <w:rPr>
                <w:rFonts w:hint="eastAsia"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4.行政许可决定书及相关许可证信息</w:t>
            </w:r>
          </w:p>
        </w:tc>
        <w:tc>
          <w:tcPr>
            <w:tcW w:w="2205" w:type="dxa"/>
            <w:noWrap w:val="0"/>
            <w:vAlign w:val="center"/>
          </w:tcPr>
          <w:p>
            <w:pPr>
              <w:adjustRightInd w:val="0"/>
              <w:snapToGrid w:val="0"/>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《行政许可法》 《政府信息公开条例》 《中华人民共和国固体废物污染环境防治法》（2017年修正） 《危险废物经营许可证管理办法》（国务院令第408号，2016年修订） </w:t>
            </w:r>
          </w:p>
        </w:tc>
        <w:tc>
          <w:tcPr>
            <w:tcW w:w="1500" w:type="dxa"/>
            <w:noWrap w:val="0"/>
            <w:vAlign w:val="center"/>
          </w:tcPr>
          <w:p>
            <w:pPr>
              <w:adjustRightInd w:val="0"/>
              <w:snapToGrid w:val="0"/>
              <w:rPr>
                <w:rFonts w:hint="eastAsia" w:ascii="仿宋_GB2312" w:hAnsi="宋体" w:eastAsia="仿宋_GB2312"/>
                <w:color w:val="000000"/>
                <w:kern w:val="2"/>
                <w:sz w:val="18"/>
                <w:szCs w:val="18"/>
                <w:lang w:val="en-US" w:eastAsia="zh-CN" w:bidi="ar-SA"/>
              </w:rPr>
            </w:pPr>
            <w:r>
              <w:rPr>
                <w:rFonts w:hint="eastAsia" w:ascii="仿宋_GB2312" w:hAnsi="宋体" w:eastAsia="仿宋_GB2312"/>
                <w:color w:val="000000"/>
                <w:sz w:val="18"/>
                <w:szCs w:val="18"/>
              </w:rPr>
              <w:t>自该信息形成或者变更之日起20个工作日内</w:t>
            </w:r>
          </w:p>
        </w:tc>
        <w:tc>
          <w:tcPr>
            <w:tcW w:w="1290" w:type="dxa"/>
            <w:noWrap w:val="0"/>
            <w:vAlign w:val="center"/>
          </w:tcPr>
          <w:p>
            <w:pPr>
              <w:adjustRightInd w:val="0"/>
              <w:snapToGrid w:val="0"/>
              <w:jc w:val="center"/>
              <w:rPr>
                <w:rFonts w:hint="eastAsia" w:ascii="仿宋_GB2312" w:hAnsi="宋体" w:eastAsia="仿宋_GB2312"/>
                <w:color w:val="000000"/>
                <w:kern w:val="2"/>
                <w:sz w:val="18"/>
                <w:szCs w:val="18"/>
                <w:lang w:val="en-US" w:eastAsia="zh-CN" w:bidi="ar-SA"/>
              </w:rPr>
            </w:pPr>
            <w:r>
              <w:rPr>
                <w:rFonts w:hint="eastAsia" w:ascii="仿宋_GB2312" w:hAnsi="宋体" w:eastAsia="仿宋_GB2312"/>
                <w:color w:val="000000"/>
                <w:sz w:val="18"/>
                <w:szCs w:val="18"/>
                <w:lang w:eastAsia="zh-CN"/>
              </w:rPr>
              <w:t>区政务服务中心</w:t>
            </w:r>
          </w:p>
        </w:tc>
        <w:tc>
          <w:tcPr>
            <w:tcW w:w="1770" w:type="dxa"/>
            <w:noWrap w:val="0"/>
            <w:vAlign w:val="center"/>
          </w:tcPr>
          <w:p>
            <w:pPr>
              <w:adjustRightInd w:val="0"/>
              <w:snapToGrid w:val="0"/>
              <w:rPr>
                <w:rFonts w:hint="eastAsia" w:ascii="仿宋_GB2312" w:hAnsi="宋体" w:eastAsia="仿宋_GB2312"/>
                <w:color w:val="000000"/>
                <w:kern w:val="2"/>
                <w:sz w:val="18"/>
                <w:szCs w:val="18"/>
                <w:lang w:val="en-US" w:eastAsia="zh-CN" w:bidi="ar-SA"/>
              </w:rPr>
            </w:pPr>
            <w:r>
              <w:rPr>
                <w:rFonts w:hint="eastAsia" w:ascii="仿宋_GB2312" w:hAnsi="宋体" w:eastAsia="仿宋_GB2312"/>
                <w:sz w:val="18"/>
                <w:szCs w:val="18"/>
              </w:rPr>
              <w:t>■天津网上办事大厅</w:t>
            </w:r>
          </w:p>
        </w:tc>
        <w:tc>
          <w:tcPr>
            <w:tcW w:w="660" w:type="dxa"/>
            <w:noWrap w:val="0"/>
            <w:vAlign w:val="center"/>
          </w:tcPr>
          <w:p>
            <w:pPr>
              <w:adjustRightInd w:val="0"/>
              <w:snapToGrid w:val="0"/>
              <w:jc w:val="center"/>
              <w:rPr>
                <w:rFonts w:ascii="仿宋_GB2312" w:hAnsi="宋体" w:eastAsia="仿宋_GB2312"/>
                <w:color w:val="000000"/>
                <w:kern w:val="2"/>
                <w:sz w:val="18"/>
                <w:szCs w:val="18"/>
                <w:lang w:val="en-US" w:eastAsia="zh-CN" w:bidi="ar-SA"/>
              </w:rPr>
            </w:pPr>
            <w:r>
              <w:rPr>
                <w:rFonts w:ascii="仿宋_GB2312" w:hAnsi="宋体" w:eastAsia="仿宋_GB2312"/>
                <w:color w:val="000000"/>
                <w:sz w:val="18"/>
                <w:szCs w:val="18"/>
              </w:rPr>
              <w:t>√</w:t>
            </w:r>
          </w:p>
        </w:tc>
        <w:tc>
          <w:tcPr>
            <w:tcW w:w="780" w:type="dxa"/>
            <w:noWrap w:val="0"/>
            <w:vAlign w:val="center"/>
          </w:tcPr>
          <w:p>
            <w:pPr>
              <w:adjustRightInd w:val="0"/>
              <w:snapToGrid w:val="0"/>
              <w:jc w:val="center"/>
              <w:rPr>
                <w:rFonts w:ascii="仿宋_GB2312" w:hAnsi="宋体" w:eastAsia="仿宋_GB2312"/>
                <w:color w:val="000000"/>
                <w:kern w:val="2"/>
                <w:sz w:val="18"/>
                <w:szCs w:val="18"/>
                <w:lang w:val="en-US" w:eastAsia="zh-CN" w:bidi="ar-SA"/>
              </w:rPr>
            </w:pPr>
          </w:p>
        </w:tc>
        <w:tc>
          <w:tcPr>
            <w:tcW w:w="705" w:type="dxa"/>
            <w:noWrap w:val="0"/>
            <w:vAlign w:val="center"/>
          </w:tcPr>
          <w:p>
            <w:pPr>
              <w:adjustRightInd w:val="0"/>
              <w:snapToGrid w:val="0"/>
              <w:jc w:val="center"/>
              <w:rPr>
                <w:rFonts w:ascii="仿宋_GB2312" w:hAnsi="宋体" w:eastAsia="仿宋_GB2312"/>
                <w:color w:val="000000"/>
                <w:kern w:val="2"/>
                <w:sz w:val="18"/>
                <w:szCs w:val="18"/>
                <w:lang w:val="en-US" w:eastAsia="zh-CN" w:bidi="ar-SA"/>
              </w:rPr>
            </w:pPr>
            <w:r>
              <w:rPr>
                <w:rFonts w:ascii="仿宋_GB2312" w:hAnsi="宋体" w:eastAsia="仿宋_GB2312"/>
                <w:color w:val="000000"/>
                <w:sz w:val="18"/>
                <w:szCs w:val="18"/>
              </w:rPr>
              <w:t>√</w:t>
            </w:r>
          </w:p>
        </w:tc>
        <w:tc>
          <w:tcPr>
            <w:tcW w:w="765" w:type="dxa"/>
            <w:noWrap w:val="0"/>
            <w:vAlign w:val="center"/>
          </w:tcPr>
          <w:p>
            <w:pPr>
              <w:adjustRightInd w:val="0"/>
              <w:snapToGrid w:val="0"/>
              <w:jc w:val="center"/>
              <w:rPr>
                <w:rFonts w:ascii="仿宋_GB2312" w:hAnsi="宋体" w:eastAsia="仿宋_GB2312"/>
                <w:color w:val="000000"/>
                <w:kern w:val="2"/>
                <w:sz w:val="18"/>
                <w:szCs w:val="18"/>
                <w:lang w:val="en-US" w:eastAsia="zh-CN" w:bidi="ar-SA"/>
              </w:rPr>
            </w:pPr>
          </w:p>
        </w:tc>
        <w:tc>
          <w:tcPr>
            <w:tcW w:w="675" w:type="dxa"/>
            <w:noWrap w:val="0"/>
            <w:vAlign w:val="center"/>
          </w:tcPr>
          <w:p>
            <w:pPr>
              <w:widowControl/>
              <w:jc w:val="center"/>
              <w:rPr>
                <w:rFonts w:hint="eastAsia" w:ascii="仿宋_GB2312" w:hAnsi="宋体" w:eastAsia="仿宋_GB2312"/>
                <w:color w:val="000000"/>
                <w:kern w:val="2"/>
                <w:sz w:val="18"/>
                <w:szCs w:val="18"/>
                <w:lang w:val="en-US" w:eastAsia="zh-CN" w:bidi="ar-SA"/>
              </w:rPr>
            </w:pPr>
          </w:p>
        </w:tc>
        <w:tc>
          <w:tcPr>
            <w:tcW w:w="750" w:type="dxa"/>
            <w:noWrap w:val="0"/>
            <w:vAlign w:val="center"/>
          </w:tcPr>
          <w:p>
            <w:pPr>
              <w:widowControl/>
              <w:jc w:val="center"/>
              <w:rPr>
                <w:rFonts w:hint="eastAsia" w:ascii="仿宋_GB2312" w:hAnsi="宋体" w:eastAsia="仿宋_GB2312"/>
                <w:color w:val="000000"/>
                <w:kern w:val="2"/>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pStyle w:val="5"/>
              <w:adjustRightInd w:val="0"/>
              <w:snapToGrid w:val="0"/>
              <w:ind w:firstLine="0" w:firstLineChars="0"/>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8</w:t>
            </w:r>
          </w:p>
        </w:tc>
        <w:tc>
          <w:tcPr>
            <w:tcW w:w="720" w:type="dxa"/>
            <w:noWrap w:val="0"/>
            <w:vAlign w:val="center"/>
          </w:tcPr>
          <w:p>
            <w:pPr>
              <w:adjustRightInd w:val="0"/>
              <w:snapToGrid w:val="0"/>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行政</w:t>
            </w:r>
            <w:r>
              <w:rPr>
                <w:rFonts w:ascii="仿宋_GB2312" w:hAnsi="宋体" w:eastAsia="仿宋_GB2312"/>
                <w:color w:val="000000"/>
                <w:sz w:val="18"/>
                <w:szCs w:val="18"/>
              </w:rPr>
              <w:br w:type="textWrapping"/>
            </w:r>
            <w:r>
              <w:rPr>
                <w:rFonts w:ascii="仿宋_GB2312" w:hAnsi="宋体" w:eastAsia="仿宋_GB2312"/>
                <w:color w:val="000000"/>
                <w:sz w:val="18"/>
                <w:szCs w:val="18"/>
              </w:rPr>
              <w:t>许可</w:t>
            </w:r>
          </w:p>
        </w:tc>
        <w:tc>
          <w:tcPr>
            <w:tcW w:w="900" w:type="dxa"/>
            <w:noWrap w:val="0"/>
            <w:vAlign w:val="center"/>
          </w:tcPr>
          <w:p>
            <w:pPr>
              <w:adjustRightInd w:val="0"/>
              <w:snapToGrid w:val="0"/>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建设项目夜间施工许可</w:t>
            </w:r>
          </w:p>
        </w:tc>
        <w:tc>
          <w:tcPr>
            <w:tcW w:w="1962" w:type="dxa"/>
            <w:noWrap w:val="0"/>
            <w:vAlign w:val="center"/>
          </w:tcPr>
          <w:p>
            <w:pPr>
              <w:pStyle w:val="5"/>
              <w:adjustRightInd w:val="0"/>
              <w:snapToGrid w:val="0"/>
              <w:ind w:firstLine="0" w:firstLineChars="0"/>
              <w:rPr>
                <w:rFonts w:hint="eastAsia" w:ascii="仿宋_GB2312" w:hAnsi="宋体" w:eastAsia="仿宋_GB2312"/>
                <w:color w:val="000000"/>
                <w:sz w:val="18"/>
                <w:szCs w:val="18"/>
              </w:rPr>
            </w:pPr>
            <w:r>
              <w:rPr>
                <w:rFonts w:hint="eastAsia" w:ascii="仿宋_GB2312" w:hAnsi="宋体" w:eastAsia="仿宋_GB2312"/>
                <w:color w:val="000000"/>
                <w:sz w:val="18"/>
                <w:szCs w:val="18"/>
              </w:rPr>
              <w:t>1.法律法规和政策文件；</w:t>
            </w:r>
          </w:p>
          <w:p>
            <w:pPr>
              <w:pStyle w:val="5"/>
              <w:adjustRightInd w:val="0"/>
              <w:snapToGrid w:val="0"/>
              <w:ind w:firstLine="0" w:firstLineChars="0"/>
              <w:rPr>
                <w:rFonts w:hint="eastAsia" w:ascii="仿宋_GB2312" w:hAnsi="宋体" w:eastAsia="仿宋_GB2312"/>
                <w:color w:val="000000"/>
                <w:sz w:val="18"/>
                <w:szCs w:val="18"/>
              </w:rPr>
            </w:pPr>
            <w:r>
              <w:rPr>
                <w:rFonts w:hint="eastAsia" w:ascii="仿宋_GB2312" w:hAnsi="宋体" w:eastAsia="仿宋_GB2312"/>
                <w:color w:val="000000"/>
                <w:sz w:val="18"/>
                <w:szCs w:val="18"/>
              </w:rPr>
              <w:t>2.办事指南，包括：适用范围、事项类型、办理依据、办理部门、业务主管部门、办理条件、申请材料、办理基本流程、办理方式、审批时限、审批收费依据及标准、审批结果、咨询途径、监督和投诉渠道、办公地址和时间、公开查询方式等；</w:t>
            </w:r>
          </w:p>
          <w:p>
            <w:pPr>
              <w:pStyle w:val="5"/>
              <w:adjustRightInd w:val="0"/>
              <w:snapToGrid w:val="0"/>
              <w:ind w:firstLine="0" w:firstLineChars="0"/>
              <w:rPr>
                <w:rFonts w:hint="eastAsia" w:ascii="仿宋_GB2312" w:hAnsi="宋体" w:eastAsia="仿宋_GB2312"/>
                <w:color w:val="000000"/>
                <w:sz w:val="18"/>
                <w:szCs w:val="18"/>
              </w:rPr>
            </w:pPr>
            <w:r>
              <w:rPr>
                <w:rFonts w:hint="eastAsia" w:ascii="仿宋_GB2312" w:hAnsi="宋体" w:eastAsia="仿宋_GB2312"/>
                <w:color w:val="000000"/>
                <w:sz w:val="18"/>
                <w:szCs w:val="18"/>
              </w:rPr>
              <w:t>3.过程信息，根据实际情况适当公开受理、审核、审批、送达等相关信息。</w:t>
            </w:r>
          </w:p>
          <w:p>
            <w:pPr>
              <w:pStyle w:val="5"/>
              <w:adjustRightInd w:val="0"/>
              <w:snapToGrid w:val="0"/>
              <w:ind w:firstLine="0" w:firstLineChars="0"/>
              <w:rPr>
                <w:rFonts w:hint="eastAsia"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4.行政许可决定书及相关许可证信息</w:t>
            </w:r>
          </w:p>
        </w:tc>
        <w:tc>
          <w:tcPr>
            <w:tcW w:w="2205" w:type="dxa"/>
            <w:noWrap w:val="0"/>
            <w:vAlign w:val="center"/>
          </w:tcPr>
          <w:p>
            <w:pPr>
              <w:adjustRightInd w:val="0"/>
              <w:snapToGrid w:val="0"/>
              <w:rPr>
                <w:rFonts w:hint="eastAsia" w:ascii="仿宋_GB2312" w:hAnsi="宋体" w:eastAsia="仿宋_GB2312"/>
                <w:color w:val="000000"/>
                <w:sz w:val="18"/>
                <w:szCs w:val="18"/>
              </w:rPr>
            </w:pPr>
            <w:r>
              <w:rPr>
                <w:rFonts w:hint="eastAsia" w:ascii="仿宋_GB2312" w:hAnsi="宋体" w:eastAsia="仿宋_GB2312"/>
                <w:color w:val="000000"/>
                <w:sz w:val="18"/>
                <w:szCs w:val="18"/>
              </w:rPr>
              <w:t>《行政许可法》 《政府信息公开条例》 《中华人民共和国水污染防治法》（2017年修订） 《天津市大气污染防治条例》（2015年）</w:t>
            </w:r>
          </w:p>
        </w:tc>
        <w:tc>
          <w:tcPr>
            <w:tcW w:w="1500" w:type="dxa"/>
            <w:noWrap w:val="0"/>
            <w:vAlign w:val="center"/>
          </w:tcPr>
          <w:p>
            <w:pPr>
              <w:adjustRightInd w:val="0"/>
              <w:snapToGrid w:val="0"/>
              <w:rPr>
                <w:rFonts w:hint="eastAsia" w:ascii="仿宋_GB2312" w:hAnsi="宋体" w:eastAsia="仿宋_GB2312"/>
                <w:color w:val="000000"/>
                <w:kern w:val="2"/>
                <w:sz w:val="18"/>
                <w:szCs w:val="18"/>
                <w:lang w:val="en-US" w:eastAsia="zh-CN" w:bidi="ar-SA"/>
              </w:rPr>
            </w:pPr>
            <w:r>
              <w:rPr>
                <w:rFonts w:hint="eastAsia" w:ascii="仿宋_GB2312" w:hAnsi="宋体" w:eastAsia="仿宋_GB2312"/>
                <w:color w:val="000000"/>
                <w:sz w:val="18"/>
                <w:szCs w:val="18"/>
              </w:rPr>
              <w:t>自该信息形成或者变更之日起20个工作日内</w:t>
            </w:r>
          </w:p>
        </w:tc>
        <w:tc>
          <w:tcPr>
            <w:tcW w:w="1290" w:type="dxa"/>
            <w:noWrap w:val="0"/>
            <w:vAlign w:val="center"/>
          </w:tcPr>
          <w:p>
            <w:pPr>
              <w:adjustRightInd w:val="0"/>
              <w:snapToGrid w:val="0"/>
              <w:jc w:val="center"/>
              <w:rPr>
                <w:rFonts w:hint="eastAsia" w:ascii="仿宋_GB2312" w:hAnsi="宋体" w:eastAsia="仿宋_GB2312"/>
                <w:color w:val="000000"/>
                <w:kern w:val="2"/>
                <w:sz w:val="18"/>
                <w:szCs w:val="18"/>
                <w:lang w:val="en-US" w:eastAsia="zh-CN" w:bidi="ar-SA"/>
              </w:rPr>
            </w:pPr>
            <w:r>
              <w:rPr>
                <w:rFonts w:hint="eastAsia" w:ascii="仿宋_GB2312" w:hAnsi="宋体" w:eastAsia="仿宋_GB2312"/>
                <w:color w:val="000000"/>
                <w:sz w:val="18"/>
                <w:szCs w:val="18"/>
                <w:lang w:eastAsia="zh-CN"/>
              </w:rPr>
              <w:t>区政务服务中心</w:t>
            </w:r>
          </w:p>
        </w:tc>
        <w:tc>
          <w:tcPr>
            <w:tcW w:w="1770" w:type="dxa"/>
            <w:noWrap w:val="0"/>
            <w:vAlign w:val="center"/>
          </w:tcPr>
          <w:p>
            <w:pPr>
              <w:adjustRightInd w:val="0"/>
              <w:snapToGrid w:val="0"/>
              <w:rPr>
                <w:rFonts w:hint="eastAsia" w:ascii="仿宋_GB2312" w:hAnsi="宋体" w:eastAsia="仿宋_GB2312"/>
                <w:color w:val="000000"/>
                <w:kern w:val="2"/>
                <w:sz w:val="18"/>
                <w:szCs w:val="18"/>
                <w:lang w:val="en-US" w:eastAsia="zh-CN" w:bidi="ar-SA"/>
              </w:rPr>
            </w:pPr>
            <w:r>
              <w:rPr>
                <w:rFonts w:hint="eastAsia" w:ascii="仿宋_GB2312" w:hAnsi="宋体" w:eastAsia="仿宋_GB2312"/>
                <w:sz w:val="18"/>
                <w:szCs w:val="18"/>
              </w:rPr>
              <w:t>■天津网上办事大厅</w:t>
            </w:r>
          </w:p>
        </w:tc>
        <w:tc>
          <w:tcPr>
            <w:tcW w:w="660" w:type="dxa"/>
            <w:noWrap w:val="0"/>
            <w:vAlign w:val="center"/>
          </w:tcPr>
          <w:p>
            <w:pPr>
              <w:adjustRightInd w:val="0"/>
              <w:snapToGrid w:val="0"/>
              <w:jc w:val="center"/>
              <w:rPr>
                <w:rFonts w:ascii="仿宋_GB2312" w:hAnsi="宋体" w:eastAsia="仿宋_GB2312"/>
                <w:color w:val="000000"/>
                <w:kern w:val="2"/>
                <w:sz w:val="18"/>
                <w:szCs w:val="18"/>
                <w:lang w:val="en-US" w:eastAsia="zh-CN" w:bidi="ar-SA"/>
              </w:rPr>
            </w:pPr>
            <w:r>
              <w:rPr>
                <w:rFonts w:ascii="仿宋_GB2312" w:hAnsi="宋体" w:eastAsia="仿宋_GB2312"/>
                <w:color w:val="000000"/>
                <w:sz w:val="18"/>
                <w:szCs w:val="18"/>
              </w:rPr>
              <w:t>√</w:t>
            </w:r>
          </w:p>
        </w:tc>
        <w:tc>
          <w:tcPr>
            <w:tcW w:w="780" w:type="dxa"/>
            <w:noWrap w:val="0"/>
            <w:vAlign w:val="center"/>
          </w:tcPr>
          <w:p>
            <w:pPr>
              <w:adjustRightInd w:val="0"/>
              <w:snapToGrid w:val="0"/>
              <w:jc w:val="center"/>
              <w:rPr>
                <w:rFonts w:ascii="仿宋_GB2312" w:hAnsi="宋体" w:eastAsia="仿宋_GB2312"/>
                <w:color w:val="000000"/>
                <w:kern w:val="2"/>
                <w:sz w:val="18"/>
                <w:szCs w:val="18"/>
                <w:lang w:val="en-US" w:eastAsia="zh-CN" w:bidi="ar-SA"/>
              </w:rPr>
            </w:pPr>
          </w:p>
        </w:tc>
        <w:tc>
          <w:tcPr>
            <w:tcW w:w="705" w:type="dxa"/>
            <w:noWrap w:val="0"/>
            <w:vAlign w:val="center"/>
          </w:tcPr>
          <w:p>
            <w:pPr>
              <w:adjustRightInd w:val="0"/>
              <w:snapToGrid w:val="0"/>
              <w:jc w:val="center"/>
              <w:rPr>
                <w:rFonts w:ascii="仿宋_GB2312" w:hAnsi="宋体" w:eastAsia="仿宋_GB2312"/>
                <w:color w:val="000000"/>
                <w:kern w:val="2"/>
                <w:sz w:val="18"/>
                <w:szCs w:val="18"/>
                <w:lang w:val="en-US" w:eastAsia="zh-CN" w:bidi="ar-SA"/>
              </w:rPr>
            </w:pPr>
            <w:r>
              <w:rPr>
                <w:rFonts w:ascii="仿宋_GB2312" w:hAnsi="宋体" w:eastAsia="仿宋_GB2312"/>
                <w:color w:val="000000"/>
                <w:sz w:val="18"/>
                <w:szCs w:val="18"/>
              </w:rPr>
              <w:t>√</w:t>
            </w:r>
          </w:p>
        </w:tc>
        <w:tc>
          <w:tcPr>
            <w:tcW w:w="765" w:type="dxa"/>
            <w:noWrap w:val="0"/>
            <w:vAlign w:val="center"/>
          </w:tcPr>
          <w:p>
            <w:pPr>
              <w:adjustRightInd w:val="0"/>
              <w:snapToGrid w:val="0"/>
              <w:jc w:val="center"/>
              <w:rPr>
                <w:rFonts w:ascii="仿宋_GB2312" w:hAnsi="宋体" w:eastAsia="仿宋_GB2312"/>
                <w:color w:val="000000"/>
                <w:kern w:val="2"/>
                <w:sz w:val="18"/>
                <w:szCs w:val="18"/>
                <w:lang w:val="en-US" w:eastAsia="zh-CN" w:bidi="ar-SA"/>
              </w:rPr>
            </w:pPr>
          </w:p>
        </w:tc>
        <w:tc>
          <w:tcPr>
            <w:tcW w:w="675" w:type="dxa"/>
            <w:noWrap w:val="0"/>
            <w:vAlign w:val="center"/>
          </w:tcPr>
          <w:p>
            <w:pPr>
              <w:widowControl/>
              <w:jc w:val="center"/>
              <w:rPr>
                <w:rFonts w:hint="eastAsia" w:ascii="仿宋_GB2312" w:hAnsi="宋体" w:eastAsia="仿宋_GB2312"/>
                <w:color w:val="000000"/>
                <w:kern w:val="2"/>
                <w:sz w:val="18"/>
                <w:szCs w:val="18"/>
                <w:lang w:val="en-US" w:eastAsia="zh-CN" w:bidi="ar-SA"/>
              </w:rPr>
            </w:pPr>
          </w:p>
        </w:tc>
        <w:tc>
          <w:tcPr>
            <w:tcW w:w="750" w:type="dxa"/>
            <w:noWrap w:val="0"/>
            <w:vAlign w:val="center"/>
          </w:tcPr>
          <w:p>
            <w:pPr>
              <w:widowControl/>
              <w:jc w:val="center"/>
              <w:rPr>
                <w:rFonts w:hint="eastAsia" w:ascii="仿宋_GB2312" w:hAnsi="宋体" w:eastAsia="仿宋_GB2312"/>
                <w:color w:val="000000"/>
                <w:kern w:val="2"/>
                <w:sz w:val="18"/>
                <w:szCs w:val="18"/>
                <w:lang w:val="en-US" w:eastAsia="zh-CN" w:bidi="ar-SA"/>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86"/>
    <w:family w:val="auto"/>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4DD74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5">
    <w:name w:val="List Paragraph"/>
    <w:basedOn w:val="1"/>
    <w:qFormat/>
    <w:uiPriority w:val="0"/>
    <w:pPr>
      <w:ind w:firstLine="420" w:firstLineChars="200"/>
    </w:pPr>
    <w:rPr>
      <w:rFonts w:ascii="等线" w:hAnsi="等线" w:eastAsia="等线"/>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user</dc:creator>
  <cp:lastModifiedBy>user</cp:lastModifiedBy>
  <dcterms:modified xsi:type="dcterms:W3CDTF">2020-07-13T06:27:14Z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