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6"/>
      <w:r>
        <w:rPr>
          <w:rFonts w:hint="eastAsia" w:ascii="方正小标宋_GBK" w:hAnsi="方正小标宋_GBK" w:eastAsia="方正小标宋_GBK"/>
          <w:b w:val="0"/>
          <w:bCs w:val="0"/>
          <w:sz w:val="30"/>
        </w:rPr>
        <w:t>生态环境领域基层政务公开标准目录</w:t>
      </w:r>
      <w:bookmarkEnd w:id="0"/>
    </w:p>
    <w:tbl>
      <w:tblPr>
        <w:tblStyle w:val="3"/>
        <w:tblW w:w="15222"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62"/>
        <w:gridCol w:w="2205"/>
        <w:gridCol w:w="1500"/>
        <w:gridCol w:w="1290"/>
        <w:gridCol w:w="1770"/>
        <w:gridCol w:w="660"/>
        <w:gridCol w:w="780"/>
        <w:gridCol w:w="705"/>
        <w:gridCol w:w="765"/>
        <w:gridCol w:w="6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6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0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9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7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7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2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62" w:type="dxa"/>
            <w:vMerge w:val="continue"/>
            <w:noWrap w:val="0"/>
            <w:vAlign w:val="center"/>
          </w:tcPr>
          <w:p>
            <w:pPr>
              <w:widowControl/>
              <w:jc w:val="left"/>
              <w:rPr>
                <w:rFonts w:ascii="黑体" w:hAnsi="宋体" w:eastAsia="黑体" w:cs="宋体"/>
                <w:color w:val="000000"/>
                <w:kern w:val="0"/>
                <w:sz w:val="22"/>
              </w:rPr>
            </w:pPr>
          </w:p>
        </w:tc>
        <w:tc>
          <w:tcPr>
            <w:tcW w:w="2205" w:type="dxa"/>
            <w:vMerge w:val="continue"/>
            <w:noWrap w:val="0"/>
            <w:vAlign w:val="center"/>
          </w:tcPr>
          <w:p>
            <w:pPr>
              <w:widowControl/>
              <w:jc w:val="left"/>
              <w:rPr>
                <w:rFonts w:ascii="黑体" w:hAnsi="宋体" w:eastAsia="黑体" w:cs="宋体"/>
                <w:color w:val="000000"/>
                <w:kern w:val="0"/>
                <w:sz w:val="22"/>
              </w:rPr>
            </w:pPr>
          </w:p>
        </w:tc>
        <w:tc>
          <w:tcPr>
            <w:tcW w:w="1500" w:type="dxa"/>
            <w:vMerge w:val="continue"/>
            <w:noWrap w:val="0"/>
            <w:vAlign w:val="center"/>
          </w:tcPr>
          <w:p>
            <w:pPr>
              <w:widowControl/>
              <w:jc w:val="left"/>
              <w:rPr>
                <w:rFonts w:ascii="黑体" w:hAnsi="宋体" w:eastAsia="黑体" w:cs="宋体"/>
                <w:color w:val="000000"/>
                <w:kern w:val="0"/>
                <w:sz w:val="22"/>
              </w:rPr>
            </w:pPr>
          </w:p>
        </w:tc>
        <w:tc>
          <w:tcPr>
            <w:tcW w:w="1290" w:type="dxa"/>
            <w:vMerge w:val="continue"/>
            <w:noWrap w:val="0"/>
            <w:vAlign w:val="center"/>
          </w:tcPr>
          <w:p>
            <w:pPr>
              <w:widowControl/>
              <w:jc w:val="left"/>
              <w:rPr>
                <w:rFonts w:ascii="黑体" w:hAnsi="宋体" w:eastAsia="黑体" w:cs="宋体"/>
                <w:color w:val="000000"/>
                <w:kern w:val="0"/>
                <w:sz w:val="22"/>
              </w:rPr>
            </w:pPr>
          </w:p>
        </w:tc>
        <w:tc>
          <w:tcPr>
            <w:tcW w:w="1770" w:type="dxa"/>
            <w:vMerge w:val="continue"/>
            <w:noWrap w:val="0"/>
            <w:vAlign w:val="center"/>
          </w:tcPr>
          <w:p>
            <w:pPr>
              <w:widowControl/>
              <w:jc w:val="left"/>
              <w:rPr>
                <w:rFonts w:ascii="黑体" w:hAnsi="宋体" w:eastAsia="黑体" w:cs="宋体"/>
                <w:kern w:val="0"/>
                <w:sz w:val="22"/>
              </w:rPr>
            </w:pPr>
          </w:p>
        </w:tc>
        <w:tc>
          <w:tcPr>
            <w:tcW w:w="6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6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建设项目环境影响评价文件审批</w:t>
            </w:r>
          </w:p>
        </w:tc>
        <w:tc>
          <w:tcPr>
            <w:tcW w:w="1962" w:type="dxa"/>
            <w:noWrap w:val="0"/>
            <w:vAlign w:val="center"/>
          </w:tcPr>
          <w:p>
            <w:pPr>
              <w:pStyle w:val="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受理环节：受理情况公示、</w:t>
            </w:r>
            <w:r>
              <w:rPr>
                <w:rFonts w:ascii="仿宋_GB2312" w:hAnsi="宋体" w:eastAsia="仿宋_GB2312"/>
                <w:color w:val="000000"/>
                <w:sz w:val="18"/>
                <w:szCs w:val="18"/>
              </w:rPr>
              <w:t>报告书（</w:t>
            </w:r>
            <w:r>
              <w:rPr>
                <w:rFonts w:hint="eastAsia" w:ascii="仿宋_GB2312" w:hAnsi="宋体" w:eastAsia="仿宋_GB2312"/>
                <w:color w:val="000000"/>
                <w:sz w:val="18"/>
                <w:szCs w:val="18"/>
              </w:rPr>
              <w:t>表</w:t>
            </w:r>
            <w:r>
              <w:rPr>
                <w:rFonts w:ascii="仿宋_GB2312" w:hAnsi="宋体" w:eastAsia="仿宋_GB2312"/>
                <w:color w:val="000000"/>
                <w:sz w:val="18"/>
                <w:szCs w:val="18"/>
              </w:rPr>
              <w:t>）</w:t>
            </w:r>
            <w:r>
              <w:rPr>
                <w:rFonts w:hint="eastAsia" w:ascii="仿宋_GB2312" w:hAnsi="宋体" w:eastAsia="仿宋_GB2312"/>
                <w:color w:val="000000"/>
                <w:sz w:val="18"/>
                <w:szCs w:val="18"/>
              </w:rPr>
              <w:t>全本；拟决定环节：拟审查</w:t>
            </w:r>
            <w:r>
              <w:rPr>
                <w:rFonts w:ascii="仿宋_GB2312" w:hAnsi="宋体" w:eastAsia="仿宋_GB2312"/>
                <w:color w:val="000000"/>
                <w:sz w:val="18"/>
                <w:szCs w:val="18"/>
              </w:rPr>
              <w:t>环评文件基本情况公示</w:t>
            </w:r>
            <w:r>
              <w:rPr>
                <w:rFonts w:hint="eastAsia" w:ascii="仿宋_GB2312" w:hAnsi="宋体" w:eastAsia="仿宋_GB2312"/>
                <w:color w:val="000000"/>
                <w:sz w:val="18"/>
                <w:szCs w:val="18"/>
              </w:rPr>
              <w:t>；决定环节：环评批复</w:t>
            </w:r>
          </w:p>
        </w:tc>
        <w:tc>
          <w:tcPr>
            <w:tcW w:w="2205"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《中华人民共和国环境保护法》（中华人民共和国主席令 第九号） 《中华人民共和国环境影响评价法》（2018年12月29日第二次修正） 《国家环境保护总局建设项目环境影响评价文件审批程序规定》（2005年总局令第29号）</w:t>
            </w:r>
          </w:p>
        </w:tc>
        <w:tc>
          <w:tcPr>
            <w:tcW w:w="15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sz w:val="18"/>
                <w:szCs w:val="18"/>
              </w:rPr>
            </w:pPr>
          </w:p>
        </w:tc>
        <w:tc>
          <w:tcPr>
            <w:tcW w:w="705" w:type="dxa"/>
            <w:noWrap w:val="0"/>
            <w:vAlign w:val="center"/>
          </w:tcPr>
          <w:p>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sz w:val="18"/>
                <w:szCs w:val="18"/>
              </w:rPr>
            </w:pPr>
          </w:p>
        </w:tc>
        <w:tc>
          <w:tcPr>
            <w:tcW w:w="675" w:type="dxa"/>
            <w:noWrap w:val="0"/>
            <w:vAlign w:val="center"/>
          </w:tcPr>
          <w:p>
            <w:pPr>
              <w:widowControl/>
              <w:jc w:val="center"/>
              <w:rPr>
                <w:rFonts w:hint="eastAsia" w:ascii="仿宋_GB2312" w:hAnsi="宋体" w:eastAsia="仿宋_GB2312"/>
                <w:color w:val="000000"/>
                <w:sz w:val="18"/>
                <w:szCs w:val="18"/>
              </w:rPr>
            </w:pPr>
          </w:p>
        </w:tc>
        <w:tc>
          <w:tcPr>
            <w:tcW w:w="750" w:type="dxa"/>
            <w:noWrap w:val="0"/>
            <w:vAlign w:val="center"/>
          </w:tcPr>
          <w:p>
            <w:pPr>
              <w:widowControl/>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防治污染</w:t>
            </w:r>
            <w:r>
              <w:rPr>
                <w:rFonts w:ascii="仿宋_GB2312" w:hAnsi="宋体" w:eastAsia="仿宋_GB2312"/>
                <w:color w:val="000000"/>
                <w:sz w:val="18"/>
                <w:szCs w:val="18"/>
              </w:rPr>
              <w:t>设施拆除或闲置审批</w:t>
            </w:r>
          </w:p>
        </w:tc>
        <w:tc>
          <w:tcPr>
            <w:tcW w:w="1962" w:type="dxa"/>
            <w:noWrap w:val="0"/>
            <w:vAlign w:val="center"/>
          </w:tcPr>
          <w:p>
            <w:pPr>
              <w:pStyle w:val="5"/>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企业或单位关闭、闲置、拆除工业固体废物污染环境防治设施、场所的核准结果；企业或单位拆除、闲置环境噪声污染防治设施的审批结果</w:t>
            </w:r>
          </w:p>
        </w:tc>
        <w:tc>
          <w:tcPr>
            <w:tcW w:w="2205"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《中华人民共和国水污染防治法》（2017年修订） 《天津市大气污染防治条例》（2015年）</w:t>
            </w:r>
          </w:p>
        </w:tc>
        <w:tc>
          <w:tcPr>
            <w:tcW w:w="1500" w:type="dxa"/>
            <w:noWrap w:val="0"/>
            <w:vAlign w:val="center"/>
          </w:tcPr>
          <w:p>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建设项目环境保护设施竣工验收</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《中华人民共和国环境噪声污染防治法》（1997年3月1日起施行） 《建设项目竣工环境保护验收管理办法》（环境保护总局令第13号，2010年修正） 《国家环境保护总局建设项目环境影响评价文件审批程序规定》（2005年总局令第29号）</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排污许可证</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《政府信息公开条例》《中华人民共和国水污染防治法》（2017年修正） 《中华人民共和国环境保护法》（主席令第22号，2014年修订） 《中华人民共和国大气污染防治法》（主席令31号，2015年修订） 《中华人民共和国水污染防治法实施细则》（2000年国务院令第284号） 《国务院办公厅关于印发控制污染物排放许可制实施方案的通知》（国办发〔2016〕81号） 《排污许可管理办法（试行）》（2018年环境保护部令第48号） 《排污许可证管理暂行规定》（环水体[2016]186号）</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辐射安全许可（市级部分权限委托实施）</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《中华人民共和国放射性污染防治法》（2003年） 《国务院关于取消和下放一批行政审批项目的决定》（国发〔2014〕5号） 《放射性同位素与射线装置安全和防护条例》（2005年国务院令第449号） 《放射性同位素与射线装置安全许可管理办法》（国家环境保护总局令第31号，2008年修正）</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工业固体废物污染环境防治设施、场所的关闭、闲置或者拆除核准</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《中华人民共和国固体废物污染环境防治法》（2016年修正）</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从事机动车维修活动中生产的废矿物油和居民日常生活中产生的废镍镉电池的危险废物收集经营许可</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《行政许可法》 《政府信息公开条例》 《中华人民共和国固体废物污染环境防治法》（2017年修正） 《危险废物经营许可证管理办法》（国务院令第408号，2016年修订） </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pStyle w:val="5"/>
              <w:adjustRightInd w:val="0"/>
              <w:snapToGrid w:val="0"/>
              <w:ind w:firstLine="0" w:firstLineChars="0"/>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8</w:t>
            </w:r>
          </w:p>
        </w:tc>
        <w:tc>
          <w:tcPr>
            <w:tcW w:w="72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noWrap w:val="0"/>
            <w:vAlign w:val="center"/>
          </w:tcPr>
          <w:p>
            <w:pPr>
              <w:adjustRightInd w:val="0"/>
              <w:snapToGrid w:val="0"/>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建设项目夜间施工许可</w:t>
            </w:r>
          </w:p>
        </w:tc>
        <w:tc>
          <w:tcPr>
            <w:tcW w:w="1962" w:type="dxa"/>
            <w:noWrap w:val="0"/>
            <w:vAlign w:val="center"/>
          </w:tcPr>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类型、办理依据、办理部门、业务主管部门、办理条件、申请材料、办理基本流程、办理方式、审批时限、审批收费依据及标准、审批结果、咨询途径、监督和投诉渠道、办公地址和时间、公开查询方式等；</w:t>
            </w:r>
          </w:p>
          <w:p>
            <w:pPr>
              <w:pStyle w:val="5"/>
              <w:adjustRightInd w:val="0"/>
              <w:snapToGrid w:val="0"/>
              <w:ind w:firstLine="0" w:firstLineChars="0"/>
              <w:rPr>
                <w:rFonts w:hint="eastAsia" w:ascii="仿宋_GB2312" w:hAnsi="宋体" w:eastAsia="仿宋_GB2312"/>
                <w:color w:val="000000"/>
                <w:sz w:val="18"/>
                <w:szCs w:val="18"/>
              </w:rPr>
            </w:pPr>
            <w:r>
              <w:rPr>
                <w:rFonts w:hint="eastAsia" w:ascii="仿宋_GB2312" w:hAnsi="宋体" w:eastAsia="仿宋_GB2312"/>
                <w:color w:val="000000"/>
                <w:sz w:val="18"/>
                <w:szCs w:val="18"/>
              </w:rPr>
              <w:t>3.过程信息，根据实际情况适当公开受理、审核、审批、送达等相关信息。</w:t>
            </w:r>
          </w:p>
          <w:p>
            <w:pPr>
              <w:pStyle w:val="5"/>
              <w:adjustRightInd w:val="0"/>
              <w:snapToGrid w:val="0"/>
              <w:ind w:firstLine="0" w:firstLineChars="0"/>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4.行政许可决定书及相关许可证信息</w:t>
            </w:r>
          </w:p>
        </w:tc>
        <w:tc>
          <w:tcPr>
            <w:tcW w:w="2205" w:type="dxa"/>
            <w:noWrap w:val="0"/>
            <w:vAlign w:val="center"/>
          </w:tcPr>
          <w:p>
            <w:pPr>
              <w:adjustRightInd w:val="0"/>
              <w:snapToGrid w:val="0"/>
              <w:rPr>
                <w:rFonts w:hint="eastAsia" w:ascii="仿宋_GB2312" w:hAnsi="宋体" w:eastAsia="仿宋_GB2312"/>
                <w:color w:val="000000"/>
                <w:sz w:val="18"/>
                <w:szCs w:val="18"/>
              </w:rPr>
            </w:pPr>
            <w:r>
              <w:rPr>
                <w:rFonts w:hint="eastAsia" w:ascii="仿宋_GB2312" w:hAnsi="宋体" w:eastAsia="仿宋_GB2312"/>
                <w:color w:val="000000"/>
                <w:sz w:val="18"/>
                <w:szCs w:val="18"/>
              </w:rPr>
              <w:t>《行政许可法》 《政府信息公开条例》 《中华人民共和国水污染防治法》（2017年修订） 《天津市大气污染防治条例》（2015年）</w:t>
            </w:r>
          </w:p>
        </w:tc>
        <w:tc>
          <w:tcPr>
            <w:tcW w:w="150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自该信息形成或者变更之日起20个工作日内</w:t>
            </w:r>
          </w:p>
        </w:tc>
        <w:tc>
          <w:tcPr>
            <w:tcW w:w="1290" w:type="dxa"/>
            <w:noWrap w:val="0"/>
            <w:vAlign w:val="center"/>
          </w:tcPr>
          <w:p>
            <w:pPr>
              <w:adjustRightInd w:val="0"/>
              <w:snapToGrid w:val="0"/>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eastAsia="zh-CN"/>
              </w:rPr>
              <w:t>区政务服务中心</w:t>
            </w:r>
          </w:p>
        </w:tc>
        <w:tc>
          <w:tcPr>
            <w:tcW w:w="1770" w:type="dxa"/>
            <w:noWrap w:val="0"/>
            <w:vAlign w:val="center"/>
          </w:tcPr>
          <w:p>
            <w:pPr>
              <w:adjustRightInd w:val="0"/>
              <w:snapToGrid w:val="0"/>
              <w:rPr>
                <w:rFonts w:hint="eastAsia" w:ascii="仿宋_GB2312" w:hAnsi="宋体" w:eastAsia="仿宋_GB2312"/>
                <w:color w:val="000000"/>
                <w:kern w:val="2"/>
                <w:sz w:val="18"/>
                <w:szCs w:val="18"/>
                <w:lang w:val="en-US" w:eastAsia="zh-CN" w:bidi="ar-SA"/>
              </w:rPr>
            </w:pPr>
            <w:r>
              <w:rPr>
                <w:rFonts w:hint="eastAsia" w:ascii="仿宋_GB2312" w:hAnsi="宋体" w:eastAsia="仿宋_GB2312"/>
                <w:sz w:val="18"/>
                <w:szCs w:val="18"/>
              </w:rPr>
              <w:t>■天津网上办事大厅</w:t>
            </w:r>
          </w:p>
        </w:tc>
        <w:tc>
          <w:tcPr>
            <w:tcW w:w="66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80"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70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r>
              <w:rPr>
                <w:rFonts w:ascii="仿宋_GB2312" w:hAnsi="宋体" w:eastAsia="仿宋_GB2312"/>
                <w:color w:val="000000"/>
                <w:sz w:val="18"/>
                <w:szCs w:val="18"/>
              </w:rPr>
              <w:t>√</w:t>
            </w:r>
          </w:p>
        </w:tc>
        <w:tc>
          <w:tcPr>
            <w:tcW w:w="765" w:type="dxa"/>
            <w:noWrap w:val="0"/>
            <w:vAlign w:val="center"/>
          </w:tcPr>
          <w:p>
            <w:pPr>
              <w:adjustRightInd w:val="0"/>
              <w:snapToGrid w:val="0"/>
              <w:jc w:val="center"/>
              <w:rPr>
                <w:rFonts w:ascii="仿宋_GB2312" w:hAnsi="宋体" w:eastAsia="仿宋_GB2312"/>
                <w:color w:val="000000"/>
                <w:kern w:val="2"/>
                <w:sz w:val="18"/>
                <w:szCs w:val="18"/>
                <w:lang w:val="en-US" w:eastAsia="zh-CN" w:bidi="ar-SA"/>
              </w:rPr>
            </w:pPr>
          </w:p>
        </w:tc>
        <w:tc>
          <w:tcPr>
            <w:tcW w:w="675"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c>
          <w:tcPr>
            <w:tcW w:w="750" w:type="dxa"/>
            <w:noWrap w:val="0"/>
            <w:vAlign w:val="center"/>
          </w:tcPr>
          <w:p>
            <w:pPr>
              <w:widowControl/>
              <w:jc w:val="center"/>
              <w:rPr>
                <w:rFonts w:hint="eastAsia" w:ascii="仿宋_GB2312" w:hAnsi="宋体" w:eastAsia="仿宋_GB2312"/>
                <w:color w:val="000000"/>
                <w:kern w:val="2"/>
                <w:sz w:val="18"/>
                <w:szCs w:val="18"/>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DD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2020-07-13T06:27:14Z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