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782D">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公共文化服务领域基层政务公开标准目录</w:t>
      </w:r>
    </w:p>
    <w:tbl>
      <w:tblPr>
        <w:tblStyle w:val="5"/>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4E23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ign w:val="center"/>
          </w:tcPr>
          <w:p w14:paraId="4BAD12C9">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ign w:val="center"/>
          </w:tcPr>
          <w:p w14:paraId="543BB19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ign w:val="center"/>
          </w:tcPr>
          <w:p w14:paraId="0AB2241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ign w:val="center"/>
          </w:tcPr>
          <w:p w14:paraId="02BAF93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ign w:val="center"/>
          </w:tcPr>
          <w:p w14:paraId="126DB6A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ign w:val="center"/>
          </w:tcPr>
          <w:p w14:paraId="161D010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ign w:val="center"/>
          </w:tcPr>
          <w:p w14:paraId="2220C92D">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ign w:val="center"/>
          </w:tcPr>
          <w:p w14:paraId="403F950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ign w:val="center"/>
          </w:tcPr>
          <w:p w14:paraId="53E9B1F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ign w:val="center"/>
          </w:tcPr>
          <w:p w14:paraId="595CCEC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649E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ign w:val="center"/>
          </w:tcPr>
          <w:p w14:paraId="5C8DAA72">
            <w:pPr>
              <w:widowControl/>
              <w:jc w:val="left"/>
              <w:rPr>
                <w:rFonts w:ascii="Times New Roman" w:hAnsi="Times New Roman"/>
                <w:color w:val="000000"/>
                <w:kern w:val="0"/>
                <w:sz w:val="22"/>
              </w:rPr>
            </w:pPr>
          </w:p>
        </w:tc>
        <w:tc>
          <w:tcPr>
            <w:tcW w:w="734" w:type="dxa"/>
            <w:noWrap/>
            <w:vAlign w:val="center"/>
          </w:tcPr>
          <w:p w14:paraId="43B63E6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ign w:val="center"/>
          </w:tcPr>
          <w:p w14:paraId="5EAFE3D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ign w:val="center"/>
          </w:tcPr>
          <w:p w14:paraId="185D7B8A">
            <w:pPr>
              <w:widowControl/>
              <w:jc w:val="left"/>
              <w:rPr>
                <w:rFonts w:ascii="黑体" w:hAnsi="宋体" w:eastAsia="黑体" w:cs="宋体"/>
                <w:color w:val="000000"/>
                <w:kern w:val="0"/>
                <w:sz w:val="22"/>
              </w:rPr>
            </w:pPr>
          </w:p>
        </w:tc>
        <w:tc>
          <w:tcPr>
            <w:tcW w:w="2159" w:type="dxa"/>
            <w:vMerge w:val="continue"/>
            <w:noWrap/>
            <w:vAlign w:val="center"/>
          </w:tcPr>
          <w:p w14:paraId="116720BF">
            <w:pPr>
              <w:widowControl/>
              <w:jc w:val="left"/>
              <w:rPr>
                <w:rFonts w:ascii="黑体" w:hAnsi="宋体" w:eastAsia="黑体" w:cs="宋体"/>
                <w:color w:val="000000"/>
                <w:kern w:val="0"/>
                <w:sz w:val="22"/>
              </w:rPr>
            </w:pPr>
          </w:p>
        </w:tc>
        <w:tc>
          <w:tcPr>
            <w:tcW w:w="1366" w:type="dxa"/>
            <w:vMerge w:val="continue"/>
            <w:noWrap/>
            <w:vAlign w:val="center"/>
          </w:tcPr>
          <w:p w14:paraId="524133AD">
            <w:pPr>
              <w:widowControl/>
              <w:jc w:val="left"/>
              <w:rPr>
                <w:rFonts w:ascii="黑体" w:hAnsi="宋体" w:eastAsia="黑体" w:cs="宋体"/>
                <w:color w:val="000000"/>
                <w:kern w:val="0"/>
                <w:sz w:val="22"/>
              </w:rPr>
            </w:pPr>
          </w:p>
        </w:tc>
        <w:tc>
          <w:tcPr>
            <w:tcW w:w="1410" w:type="dxa"/>
            <w:vMerge w:val="continue"/>
            <w:noWrap/>
            <w:vAlign w:val="center"/>
          </w:tcPr>
          <w:p w14:paraId="1F0931EA">
            <w:pPr>
              <w:widowControl/>
              <w:jc w:val="left"/>
              <w:rPr>
                <w:rFonts w:ascii="黑体" w:hAnsi="宋体" w:eastAsia="黑体" w:cs="宋体"/>
                <w:color w:val="000000"/>
                <w:kern w:val="0"/>
                <w:sz w:val="22"/>
              </w:rPr>
            </w:pPr>
          </w:p>
        </w:tc>
        <w:tc>
          <w:tcPr>
            <w:tcW w:w="1860" w:type="dxa"/>
            <w:vMerge w:val="continue"/>
            <w:noWrap/>
            <w:vAlign w:val="center"/>
          </w:tcPr>
          <w:p w14:paraId="1D346FC6">
            <w:pPr>
              <w:widowControl/>
              <w:jc w:val="left"/>
              <w:rPr>
                <w:rFonts w:ascii="黑体" w:hAnsi="宋体" w:eastAsia="黑体" w:cs="宋体"/>
                <w:kern w:val="0"/>
                <w:sz w:val="22"/>
              </w:rPr>
            </w:pPr>
          </w:p>
        </w:tc>
        <w:tc>
          <w:tcPr>
            <w:tcW w:w="705" w:type="dxa"/>
            <w:noWrap/>
            <w:vAlign w:val="center"/>
          </w:tcPr>
          <w:p w14:paraId="039C010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ign w:val="center"/>
          </w:tcPr>
          <w:p w14:paraId="6A18D79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ign w:val="center"/>
          </w:tcPr>
          <w:p w14:paraId="275B14A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ign w:val="center"/>
          </w:tcPr>
          <w:p w14:paraId="76FD1C2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ign w:val="center"/>
          </w:tcPr>
          <w:p w14:paraId="0C5C386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ign w:val="center"/>
          </w:tcPr>
          <w:p w14:paraId="4F2ADE8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242C2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0B5E33A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w:t>
            </w:r>
          </w:p>
        </w:tc>
        <w:tc>
          <w:tcPr>
            <w:tcW w:w="734" w:type="dxa"/>
            <w:vMerge w:val="restart"/>
            <w:noWrap/>
            <w:vAlign w:val="center"/>
          </w:tcPr>
          <w:p w14:paraId="3581461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71E26B2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互联网上网服务营业场所经营许可</w:t>
            </w:r>
          </w:p>
        </w:tc>
        <w:tc>
          <w:tcPr>
            <w:tcW w:w="2145" w:type="dxa"/>
            <w:noWrap/>
            <w:vAlign w:val="center"/>
          </w:tcPr>
          <w:p w14:paraId="0CE573B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4EF5811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《互联网上网服务营业场所管理条例》（国务院令第363号，2016年修订）</w:t>
            </w:r>
          </w:p>
        </w:tc>
        <w:tc>
          <w:tcPr>
            <w:tcW w:w="1366" w:type="dxa"/>
            <w:noWrap/>
            <w:vAlign w:val="center"/>
          </w:tcPr>
          <w:p w14:paraId="5BF0CA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3C0AEFA5">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0CB2C350">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44BB0274">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ign w:val="center"/>
          </w:tcPr>
          <w:p w14:paraId="6122601F">
            <w:pPr>
              <w:adjustRightInd w:val="0"/>
              <w:snapToGrid w:val="0"/>
              <w:jc w:val="center"/>
              <w:rPr>
                <w:rFonts w:ascii="仿宋_GB2312" w:hAnsi="Times New Roman" w:eastAsia="仿宋_GB2312"/>
                <w:color w:val="FF0000"/>
                <w:sz w:val="18"/>
                <w:szCs w:val="18"/>
              </w:rPr>
            </w:pPr>
          </w:p>
        </w:tc>
        <w:tc>
          <w:tcPr>
            <w:tcW w:w="495" w:type="dxa"/>
            <w:noWrap/>
            <w:vAlign w:val="center"/>
          </w:tcPr>
          <w:p w14:paraId="6B8A6593">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ign w:val="center"/>
          </w:tcPr>
          <w:p w14:paraId="6FAAEF84">
            <w:pPr>
              <w:adjustRightInd w:val="0"/>
              <w:snapToGrid w:val="0"/>
              <w:jc w:val="center"/>
              <w:rPr>
                <w:rFonts w:ascii="仿宋_GB2312" w:hAnsi="Times New Roman" w:eastAsia="仿宋_GB2312"/>
                <w:color w:val="FF0000"/>
                <w:sz w:val="18"/>
                <w:szCs w:val="18"/>
              </w:rPr>
            </w:pPr>
          </w:p>
        </w:tc>
        <w:tc>
          <w:tcPr>
            <w:tcW w:w="533" w:type="dxa"/>
            <w:noWrap/>
            <w:vAlign w:val="center"/>
          </w:tcPr>
          <w:p w14:paraId="10652DF5">
            <w:pPr>
              <w:widowControl/>
              <w:jc w:val="center"/>
              <w:rPr>
                <w:rFonts w:ascii="仿宋_GB2312" w:hAnsi="Times New Roman" w:eastAsia="仿宋_GB2312"/>
                <w:color w:val="FF0000"/>
                <w:sz w:val="18"/>
                <w:szCs w:val="18"/>
              </w:rPr>
            </w:pPr>
            <w:r>
              <w:rPr>
                <w:rFonts w:hint="eastAsia" w:ascii="仿宋_GB2312" w:eastAsia="仿宋_GB2312"/>
                <w:color w:val="FF0000"/>
                <w:sz w:val="18"/>
                <w:szCs w:val="18"/>
              </w:rPr>
              <w:t>√</w:t>
            </w:r>
          </w:p>
        </w:tc>
        <w:tc>
          <w:tcPr>
            <w:tcW w:w="622" w:type="dxa"/>
            <w:noWrap/>
            <w:vAlign w:val="center"/>
          </w:tcPr>
          <w:p w14:paraId="5FA42BEA">
            <w:pPr>
              <w:widowControl/>
              <w:jc w:val="center"/>
              <w:rPr>
                <w:rFonts w:ascii="仿宋_GB2312" w:hAnsi="Times New Roman" w:eastAsia="仿宋_GB2312"/>
                <w:color w:val="FF0000"/>
                <w:sz w:val="18"/>
                <w:szCs w:val="18"/>
              </w:rPr>
            </w:pPr>
          </w:p>
        </w:tc>
      </w:tr>
      <w:tr w14:paraId="20700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F27CF9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w:t>
            </w:r>
          </w:p>
        </w:tc>
        <w:tc>
          <w:tcPr>
            <w:tcW w:w="734" w:type="dxa"/>
            <w:vMerge w:val="continue"/>
            <w:noWrap/>
            <w:vAlign w:val="center"/>
          </w:tcPr>
          <w:p w14:paraId="13E360B1">
            <w:pPr>
              <w:spacing w:line="240" w:lineRule="exact"/>
              <w:rPr>
                <w:rFonts w:ascii="仿宋_GB2312" w:hAnsi="Times New Roman" w:eastAsia="仿宋_GB2312"/>
                <w:color w:val="FF0000"/>
                <w:sz w:val="18"/>
                <w:szCs w:val="18"/>
              </w:rPr>
            </w:pPr>
          </w:p>
        </w:tc>
        <w:tc>
          <w:tcPr>
            <w:tcW w:w="1082" w:type="dxa"/>
            <w:noWrap/>
            <w:vAlign w:val="center"/>
          </w:tcPr>
          <w:p w14:paraId="2179BF0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文艺表演团体设立审批</w:t>
            </w:r>
          </w:p>
        </w:tc>
        <w:tc>
          <w:tcPr>
            <w:tcW w:w="2145" w:type="dxa"/>
            <w:noWrap/>
            <w:vAlign w:val="center"/>
          </w:tcPr>
          <w:p w14:paraId="7ED39CC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02E19EF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 《营业性演出管理条例实施细则》（文化部令第47号，2009年）</w:t>
            </w:r>
          </w:p>
        </w:tc>
        <w:tc>
          <w:tcPr>
            <w:tcW w:w="1366" w:type="dxa"/>
            <w:noWrap/>
            <w:vAlign w:val="center"/>
          </w:tcPr>
          <w:p w14:paraId="4686D5B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5DD58FFA">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032393DC">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52D661E0">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ign w:val="center"/>
          </w:tcPr>
          <w:p w14:paraId="6E59052A">
            <w:pPr>
              <w:adjustRightInd w:val="0"/>
              <w:snapToGrid w:val="0"/>
              <w:jc w:val="center"/>
              <w:rPr>
                <w:rFonts w:ascii="仿宋_GB2312" w:hAnsi="Times New Roman" w:eastAsia="仿宋_GB2312"/>
                <w:color w:val="FF0000"/>
                <w:sz w:val="18"/>
                <w:szCs w:val="18"/>
              </w:rPr>
            </w:pPr>
          </w:p>
        </w:tc>
        <w:tc>
          <w:tcPr>
            <w:tcW w:w="495" w:type="dxa"/>
            <w:noWrap/>
            <w:vAlign w:val="center"/>
          </w:tcPr>
          <w:p w14:paraId="51A553A3">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ign w:val="center"/>
          </w:tcPr>
          <w:p w14:paraId="532834F9">
            <w:pPr>
              <w:adjustRightInd w:val="0"/>
              <w:snapToGrid w:val="0"/>
              <w:jc w:val="center"/>
              <w:rPr>
                <w:rFonts w:ascii="仿宋_GB2312" w:hAnsi="Times New Roman" w:eastAsia="仿宋_GB2312"/>
                <w:color w:val="FF0000"/>
                <w:sz w:val="18"/>
                <w:szCs w:val="18"/>
              </w:rPr>
            </w:pPr>
          </w:p>
        </w:tc>
        <w:tc>
          <w:tcPr>
            <w:tcW w:w="533" w:type="dxa"/>
            <w:noWrap/>
            <w:vAlign w:val="center"/>
          </w:tcPr>
          <w:p w14:paraId="588D2B90">
            <w:pPr>
              <w:widowControl/>
              <w:jc w:val="center"/>
              <w:rPr>
                <w:rFonts w:ascii="仿宋_GB2312" w:hAnsi="Times New Roman" w:eastAsia="仿宋_GB2312"/>
                <w:color w:val="FF0000"/>
                <w:sz w:val="18"/>
                <w:szCs w:val="18"/>
              </w:rPr>
            </w:pPr>
            <w:r>
              <w:rPr>
                <w:rFonts w:hint="eastAsia" w:ascii="仿宋_GB2312" w:eastAsia="仿宋_GB2312"/>
                <w:color w:val="FF0000"/>
                <w:sz w:val="18"/>
                <w:szCs w:val="18"/>
              </w:rPr>
              <w:t>√</w:t>
            </w:r>
          </w:p>
        </w:tc>
        <w:tc>
          <w:tcPr>
            <w:tcW w:w="622" w:type="dxa"/>
            <w:noWrap/>
            <w:vAlign w:val="center"/>
          </w:tcPr>
          <w:p w14:paraId="42AB642E">
            <w:pPr>
              <w:widowControl/>
              <w:jc w:val="center"/>
              <w:rPr>
                <w:rFonts w:ascii="仿宋_GB2312" w:hAnsi="Times New Roman" w:eastAsia="仿宋_GB2312"/>
                <w:color w:val="FF0000"/>
                <w:sz w:val="18"/>
                <w:szCs w:val="18"/>
              </w:rPr>
            </w:pPr>
          </w:p>
        </w:tc>
      </w:tr>
      <w:tr w14:paraId="505D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834CEC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3</w:t>
            </w:r>
          </w:p>
        </w:tc>
        <w:tc>
          <w:tcPr>
            <w:tcW w:w="734" w:type="dxa"/>
            <w:noWrap/>
            <w:vAlign w:val="center"/>
          </w:tcPr>
          <w:p w14:paraId="0ADE644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6B625B3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营业性演出审批</w:t>
            </w:r>
          </w:p>
        </w:tc>
        <w:tc>
          <w:tcPr>
            <w:tcW w:w="2145" w:type="dxa"/>
            <w:noWrap/>
            <w:vAlign w:val="center"/>
          </w:tcPr>
          <w:p w14:paraId="584E29A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1E66078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《营业性演出管理条例》（国务院令第439号，2016年修订） 《营业性演出管理条例实施细则》（文化部令第47号）</w:t>
            </w:r>
          </w:p>
        </w:tc>
        <w:tc>
          <w:tcPr>
            <w:tcW w:w="1366" w:type="dxa"/>
            <w:noWrap/>
            <w:vAlign w:val="center"/>
          </w:tcPr>
          <w:p w14:paraId="60297F7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65BEC156">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5E9BC21A">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4C40AC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47CB31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2D85B04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23419F8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2016E6D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5209AB6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062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5CD8B2F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4</w:t>
            </w:r>
          </w:p>
        </w:tc>
        <w:tc>
          <w:tcPr>
            <w:tcW w:w="734" w:type="dxa"/>
            <w:vMerge w:val="restart"/>
            <w:noWrap/>
            <w:vAlign w:val="center"/>
          </w:tcPr>
          <w:p w14:paraId="3CE40B4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6F9D276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娱乐场所经营许可</w:t>
            </w:r>
          </w:p>
        </w:tc>
        <w:tc>
          <w:tcPr>
            <w:tcW w:w="2145" w:type="dxa"/>
            <w:noWrap/>
            <w:vAlign w:val="center"/>
          </w:tcPr>
          <w:p w14:paraId="5754990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4D69B7A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《娱乐场所管理条例》（国务院令第458号，2016年修订） 《娱乐场所管理办法》（文化部令第55号）</w:t>
            </w:r>
          </w:p>
        </w:tc>
        <w:tc>
          <w:tcPr>
            <w:tcW w:w="1366" w:type="dxa"/>
            <w:noWrap/>
            <w:vAlign w:val="center"/>
          </w:tcPr>
          <w:p w14:paraId="4B2C6FD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62995544">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6F15BF43">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4899B00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1084247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3A0061A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69F41ED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50D4547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0A96091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197B7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EBEB1C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5</w:t>
            </w:r>
          </w:p>
        </w:tc>
        <w:tc>
          <w:tcPr>
            <w:tcW w:w="734" w:type="dxa"/>
            <w:vMerge w:val="continue"/>
            <w:noWrap/>
            <w:vAlign w:val="center"/>
          </w:tcPr>
          <w:p w14:paraId="6BB690A2">
            <w:pPr>
              <w:spacing w:line="240" w:lineRule="exact"/>
              <w:rPr>
                <w:rFonts w:ascii="仿宋_GB2312" w:hAnsi="Times New Roman" w:eastAsia="仿宋_GB2312"/>
                <w:color w:val="FF0000"/>
                <w:sz w:val="18"/>
                <w:szCs w:val="18"/>
              </w:rPr>
            </w:pPr>
          </w:p>
        </w:tc>
        <w:tc>
          <w:tcPr>
            <w:tcW w:w="1082" w:type="dxa"/>
            <w:noWrap/>
            <w:vAlign w:val="center"/>
          </w:tcPr>
          <w:p w14:paraId="3E1660B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县级文物保护单位实施原址保护措施审批</w:t>
            </w:r>
          </w:p>
        </w:tc>
        <w:tc>
          <w:tcPr>
            <w:tcW w:w="2145" w:type="dxa"/>
            <w:noWrap/>
            <w:vAlign w:val="center"/>
          </w:tcPr>
          <w:p w14:paraId="0B33573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69F28D8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w:t>
            </w:r>
          </w:p>
        </w:tc>
        <w:tc>
          <w:tcPr>
            <w:tcW w:w="1366" w:type="dxa"/>
            <w:noWrap/>
            <w:vAlign w:val="center"/>
          </w:tcPr>
          <w:p w14:paraId="0BF4FB9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34A50F1B">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1813074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391517E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20193FC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626F531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47074A1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3BA9B27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71C99FB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3D8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B8F56E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6</w:t>
            </w:r>
          </w:p>
        </w:tc>
        <w:tc>
          <w:tcPr>
            <w:tcW w:w="734" w:type="dxa"/>
            <w:vMerge w:val="restart"/>
            <w:noWrap/>
            <w:vAlign w:val="center"/>
          </w:tcPr>
          <w:p w14:paraId="1C933D9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7D71408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县级文物保护单位和未核定为文物保护单位的不可移动文物修缮审批</w:t>
            </w:r>
          </w:p>
        </w:tc>
        <w:tc>
          <w:tcPr>
            <w:tcW w:w="2145" w:type="dxa"/>
            <w:noWrap/>
            <w:vAlign w:val="center"/>
          </w:tcPr>
          <w:p w14:paraId="1E1763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55865D2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《中华人民共和国文物保护法》（2015年第十二届全国人民代表大会常务委员会第十四次会议决定，第4次修正）</w:t>
            </w:r>
          </w:p>
        </w:tc>
        <w:tc>
          <w:tcPr>
            <w:tcW w:w="1366" w:type="dxa"/>
            <w:noWrap/>
            <w:vAlign w:val="center"/>
          </w:tcPr>
          <w:p w14:paraId="7D57E00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73ABE85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03EAAEC4">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E5AF3E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5A04879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4D96BA3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233A01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036D04D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4329CED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4C8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2D5EEB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7</w:t>
            </w:r>
          </w:p>
        </w:tc>
        <w:tc>
          <w:tcPr>
            <w:tcW w:w="734" w:type="dxa"/>
            <w:vMerge w:val="continue"/>
            <w:noWrap/>
            <w:vAlign w:val="center"/>
          </w:tcPr>
          <w:p w14:paraId="1B30D48D">
            <w:pPr>
              <w:spacing w:line="240" w:lineRule="exact"/>
              <w:rPr>
                <w:rFonts w:ascii="仿宋_GB2312" w:hAnsi="Times New Roman" w:eastAsia="仿宋_GB2312"/>
                <w:color w:val="FF0000"/>
                <w:sz w:val="18"/>
                <w:szCs w:val="18"/>
              </w:rPr>
            </w:pPr>
          </w:p>
        </w:tc>
        <w:tc>
          <w:tcPr>
            <w:tcW w:w="1082" w:type="dxa"/>
            <w:noWrap/>
            <w:vAlign w:val="center"/>
          </w:tcPr>
          <w:p w14:paraId="3BD66F2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非国有文物收藏单位和其他单位举办展览需借用国有馆藏二级以下文物审批</w:t>
            </w:r>
          </w:p>
        </w:tc>
        <w:tc>
          <w:tcPr>
            <w:tcW w:w="2145" w:type="dxa"/>
            <w:noWrap/>
            <w:vAlign w:val="center"/>
          </w:tcPr>
          <w:p w14:paraId="06379BF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6062715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ign w:val="center"/>
          </w:tcPr>
          <w:p w14:paraId="3338090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24C6D79F">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53897ED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5C13A31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7DE7914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01C7747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6395676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7F7494C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0CE7C41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6423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47E384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8</w:t>
            </w:r>
          </w:p>
        </w:tc>
        <w:tc>
          <w:tcPr>
            <w:tcW w:w="734" w:type="dxa"/>
            <w:noWrap/>
            <w:vAlign w:val="center"/>
          </w:tcPr>
          <w:p w14:paraId="340B48F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120BE8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拆除公共文化设施或改变其功能、用途许可</w:t>
            </w:r>
          </w:p>
        </w:tc>
        <w:tc>
          <w:tcPr>
            <w:tcW w:w="2145" w:type="dxa"/>
            <w:noWrap/>
            <w:vAlign w:val="center"/>
          </w:tcPr>
          <w:p w14:paraId="6DA2785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39334CA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xml:space="preserve">《行政许可法》 《政府信息公开条例》 《公共文化体育设施条例》（中华人民共和国国务院令第382号） </w:t>
            </w:r>
          </w:p>
        </w:tc>
        <w:tc>
          <w:tcPr>
            <w:tcW w:w="1366" w:type="dxa"/>
            <w:noWrap/>
            <w:vAlign w:val="center"/>
          </w:tcPr>
          <w:p w14:paraId="6E04334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58ED0965">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24FADC7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8762A1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370E402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0F5D4FE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166AAD3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356627B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04DB277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F82A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E4785F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9</w:t>
            </w:r>
          </w:p>
        </w:tc>
        <w:tc>
          <w:tcPr>
            <w:tcW w:w="734" w:type="dxa"/>
            <w:noWrap/>
            <w:vAlign w:val="center"/>
          </w:tcPr>
          <w:p w14:paraId="0BE3382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1E4BBE2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乡镇设立广播电视站和机关、部队、团体、企业、事业单位设立有线广播电视站许可</w:t>
            </w:r>
          </w:p>
        </w:tc>
        <w:tc>
          <w:tcPr>
            <w:tcW w:w="2145" w:type="dxa"/>
            <w:noWrap/>
            <w:vAlign w:val="center"/>
          </w:tcPr>
          <w:p w14:paraId="5EEB861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127958B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ign w:val="center"/>
          </w:tcPr>
          <w:p w14:paraId="6D59CB3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6AFCE2A6">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7E8F927F">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3DD5630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70704A0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40D1DF3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2F3A0E6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5FA4C21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38893A9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113F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C566C0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10</w:t>
            </w:r>
          </w:p>
        </w:tc>
        <w:tc>
          <w:tcPr>
            <w:tcW w:w="734" w:type="dxa"/>
            <w:noWrap/>
            <w:vAlign w:val="center"/>
          </w:tcPr>
          <w:p w14:paraId="449DA22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20F626F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拍摄文物许可及利用县级文物保护单位举办大型活动许可</w:t>
            </w:r>
          </w:p>
        </w:tc>
        <w:tc>
          <w:tcPr>
            <w:tcW w:w="2145" w:type="dxa"/>
            <w:noWrap/>
            <w:vAlign w:val="center"/>
          </w:tcPr>
          <w:p w14:paraId="05CB46C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6E6018D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《天津市文物保护条例》（市人大公告，第102号）</w:t>
            </w:r>
          </w:p>
        </w:tc>
        <w:tc>
          <w:tcPr>
            <w:tcW w:w="1366" w:type="dxa"/>
            <w:noWrap/>
            <w:vAlign w:val="center"/>
          </w:tcPr>
          <w:p w14:paraId="523A77B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294E807B">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227AC918">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C4C4F0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68E1085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7AD616A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724C467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5C0039E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76CE85F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DBB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3236C3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11</w:t>
            </w:r>
          </w:p>
        </w:tc>
        <w:tc>
          <w:tcPr>
            <w:tcW w:w="734" w:type="dxa"/>
            <w:noWrap/>
            <w:vAlign w:val="center"/>
          </w:tcPr>
          <w:p w14:paraId="19E37D0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1E378D8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非国有文物收藏单位和其他单位举办展览借用二级及其以下国有馆藏文物许可</w:t>
            </w:r>
          </w:p>
        </w:tc>
        <w:tc>
          <w:tcPr>
            <w:tcW w:w="2145" w:type="dxa"/>
            <w:noWrap/>
            <w:vAlign w:val="center"/>
          </w:tcPr>
          <w:p w14:paraId="3A4EBED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51414E9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ign w:val="center"/>
          </w:tcPr>
          <w:p w14:paraId="460030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6F8C85EE">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56CDDA6C">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817AA5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21B6ECC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3A0BB0C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7AD856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14DDAB7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1731A0C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FFE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1D93A9E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12</w:t>
            </w:r>
          </w:p>
        </w:tc>
        <w:tc>
          <w:tcPr>
            <w:tcW w:w="734" w:type="dxa"/>
            <w:noWrap/>
            <w:vAlign w:val="center"/>
          </w:tcPr>
          <w:p w14:paraId="3CA32CC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1BDF73D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区县级文物保护单位保护工程方案许可</w:t>
            </w:r>
          </w:p>
        </w:tc>
        <w:tc>
          <w:tcPr>
            <w:tcW w:w="2145" w:type="dxa"/>
            <w:noWrap/>
            <w:vAlign w:val="center"/>
          </w:tcPr>
          <w:p w14:paraId="657AF9F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09D8C49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《中华人民共和国文物保护法》(2015年修订)  《天津市文物保护条例》（2007年）</w:t>
            </w:r>
          </w:p>
        </w:tc>
        <w:tc>
          <w:tcPr>
            <w:tcW w:w="1366" w:type="dxa"/>
            <w:noWrap/>
            <w:vAlign w:val="center"/>
          </w:tcPr>
          <w:p w14:paraId="7259D88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34A875FC">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77E95B4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4DEDC57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21AAC92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06A0E34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7455504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09D466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2C4FD28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05BA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BF078E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13</w:t>
            </w:r>
          </w:p>
        </w:tc>
        <w:tc>
          <w:tcPr>
            <w:tcW w:w="734" w:type="dxa"/>
            <w:noWrap/>
            <w:vAlign w:val="center"/>
          </w:tcPr>
          <w:p w14:paraId="7114BB8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273C233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未核定为文物保护单位的不可移动文物迁移、拆除许可</w:t>
            </w:r>
          </w:p>
        </w:tc>
        <w:tc>
          <w:tcPr>
            <w:tcW w:w="2145" w:type="dxa"/>
            <w:noWrap/>
            <w:vAlign w:val="center"/>
          </w:tcPr>
          <w:p w14:paraId="2482AF9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2F9F87D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《中华人民共和国文物保护法》(2015年修订)  《天津市文物保护条例》（2008年）</w:t>
            </w:r>
          </w:p>
        </w:tc>
        <w:tc>
          <w:tcPr>
            <w:tcW w:w="1366" w:type="dxa"/>
            <w:noWrap/>
            <w:vAlign w:val="center"/>
          </w:tcPr>
          <w:p w14:paraId="1BFD69A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4B7C0FB8">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5FDBFE67">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74FB19A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6DEC039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35044E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10922DA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291AC44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79F3285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50DB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55EF090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14</w:t>
            </w:r>
          </w:p>
        </w:tc>
        <w:tc>
          <w:tcPr>
            <w:tcW w:w="734" w:type="dxa"/>
            <w:noWrap/>
            <w:vAlign w:val="center"/>
          </w:tcPr>
          <w:p w14:paraId="37B8594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0742B2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广播电视专用频段频率指配使用许可证（甲类）及无线广播电视发射设备（不含小功率无线广播电视发射设备）订购证明核发</w:t>
            </w:r>
          </w:p>
        </w:tc>
        <w:tc>
          <w:tcPr>
            <w:tcW w:w="2145" w:type="dxa"/>
            <w:noWrap/>
            <w:vAlign w:val="center"/>
          </w:tcPr>
          <w:p w14:paraId="4DFBC14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7D19FF9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《广播电视无线传输覆盖网管理办法》（国家广播电影电视总局令第45号，2004年） 《国务院关于修改国务院对确需保留的行政审批项目设定行政许可的决定</w:t>
            </w:r>
            <w:bookmarkStart w:id="0" w:name="_GoBack"/>
            <w:bookmarkEnd w:id="0"/>
            <w:r>
              <w:rPr>
                <w:rFonts w:hint="eastAsia" w:ascii="仿宋_GB2312" w:hAnsi="Times New Roman" w:eastAsia="仿宋_GB2312"/>
                <w:color w:val="FF0000"/>
                <w:sz w:val="18"/>
                <w:szCs w:val="18"/>
              </w:rPr>
              <w:t>》 《广播电视管理条例》</w:t>
            </w:r>
          </w:p>
        </w:tc>
        <w:tc>
          <w:tcPr>
            <w:tcW w:w="1366" w:type="dxa"/>
            <w:noWrap/>
            <w:vAlign w:val="center"/>
          </w:tcPr>
          <w:p w14:paraId="3F6C6EB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6C5A45F3">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7726B7CC">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70BBB31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708BC99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31DC5A0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10EC08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3571A21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581A29C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579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FCBE82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15</w:t>
            </w:r>
          </w:p>
        </w:tc>
        <w:tc>
          <w:tcPr>
            <w:tcW w:w="734" w:type="dxa"/>
            <w:noWrap/>
            <w:vAlign w:val="center"/>
          </w:tcPr>
          <w:p w14:paraId="52A110A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4C4415D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设置卫星地面接收设施许可</w:t>
            </w:r>
          </w:p>
        </w:tc>
        <w:tc>
          <w:tcPr>
            <w:tcW w:w="2145" w:type="dxa"/>
            <w:noWrap/>
            <w:vAlign w:val="center"/>
          </w:tcPr>
          <w:p w14:paraId="724E089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69AFDCF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《卫星电视广播地面接收设施管理规定》</w:t>
            </w:r>
          </w:p>
        </w:tc>
        <w:tc>
          <w:tcPr>
            <w:tcW w:w="1366" w:type="dxa"/>
            <w:noWrap/>
            <w:vAlign w:val="center"/>
          </w:tcPr>
          <w:p w14:paraId="1507720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0AEA66B9">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335A67ED">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5D77C24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50AE924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32AF22F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639F6E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2955A08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7B4AACD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5A50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1D3F571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16</w:t>
            </w:r>
          </w:p>
        </w:tc>
        <w:tc>
          <w:tcPr>
            <w:tcW w:w="734" w:type="dxa"/>
            <w:noWrap/>
            <w:vAlign w:val="center"/>
          </w:tcPr>
          <w:p w14:paraId="01A6E1E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0AF453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信息网络传播视听节目许可证核发</w:t>
            </w:r>
          </w:p>
        </w:tc>
        <w:tc>
          <w:tcPr>
            <w:tcW w:w="2145" w:type="dxa"/>
            <w:noWrap/>
            <w:vAlign w:val="center"/>
          </w:tcPr>
          <w:p w14:paraId="05901D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731F0C1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《国务院对确需保留的行政审批项目设定行政许可的决定》（国务院令第412号，2004年）</w:t>
            </w:r>
          </w:p>
        </w:tc>
        <w:tc>
          <w:tcPr>
            <w:tcW w:w="1366" w:type="dxa"/>
            <w:noWrap/>
            <w:vAlign w:val="center"/>
          </w:tcPr>
          <w:p w14:paraId="6FF1125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27B99C61">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088C80C7">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CA30C1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7CDD2CB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67B986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5A6036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722FA93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33B3EED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9919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6E4EC5D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17</w:t>
            </w:r>
          </w:p>
        </w:tc>
        <w:tc>
          <w:tcPr>
            <w:tcW w:w="734" w:type="dxa"/>
            <w:noWrap/>
            <w:vAlign w:val="center"/>
          </w:tcPr>
          <w:p w14:paraId="3C7DDF3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489F7A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迁建广播电视设施审核</w:t>
            </w:r>
          </w:p>
        </w:tc>
        <w:tc>
          <w:tcPr>
            <w:tcW w:w="2145" w:type="dxa"/>
            <w:noWrap/>
            <w:vAlign w:val="center"/>
          </w:tcPr>
          <w:p w14:paraId="458B457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7201FB7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ign w:val="center"/>
          </w:tcPr>
          <w:p w14:paraId="3E025EA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7E21A3BB">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239AF218">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1D4733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5F71B2C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484AA41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18AA12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4530412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30B7DDC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2F985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38436A7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18</w:t>
            </w:r>
          </w:p>
        </w:tc>
        <w:tc>
          <w:tcPr>
            <w:tcW w:w="734" w:type="dxa"/>
            <w:noWrap/>
            <w:vAlign w:val="center"/>
          </w:tcPr>
          <w:p w14:paraId="0859358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5F16019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广播电台、电视台（含分台、教育电视台、付费频道）设立、终止及广播电台、电视台变更台名、台标、节目设置范围或节目套数和跨地区经营审批</w:t>
            </w:r>
          </w:p>
        </w:tc>
        <w:tc>
          <w:tcPr>
            <w:tcW w:w="2145" w:type="dxa"/>
            <w:noWrap/>
            <w:vAlign w:val="center"/>
          </w:tcPr>
          <w:p w14:paraId="749FD49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02F2A78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《广播电视管理条例》</w:t>
            </w:r>
          </w:p>
        </w:tc>
        <w:tc>
          <w:tcPr>
            <w:tcW w:w="1366" w:type="dxa"/>
            <w:noWrap/>
            <w:vAlign w:val="center"/>
          </w:tcPr>
          <w:p w14:paraId="6669B8A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0744072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2AA52C45">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222EF2B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11C3C3F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0960ABE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6354587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6A6C91F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4EB17CC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76E2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24D0C8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19</w:t>
            </w:r>
          </w:p>
        </w:tc>
        <w:tc>
          <w:tcPr>
            <w:tcW w:w="734" w:type="dxa"/>
            <w:noWrap/>
            <w:vAlign w:val="center"/>
          </w:tcPr>
          <w:p w14:paraId="7E95458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2709D47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广播电视节目、电视剧制作及广播电视视频点播业务许可证（乙种）核发</w:t>
            </w:r>
          </w:p>
        </w:tc>
        <w:tc>
          <w:tcPr>
            <w:tcW w:w="2145" w:type="dxa"/>
            <w:noWrap/>
            <w:vAlign w:val="center"/>
          </w:tcPr>
          <w:p w14:paraId="75472D7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1BC41E8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《广播电视管理条例》 《国务院对确需保留的行政审批项目设定行政许可的决定》（2004年国务院令第412号）</w:t>
            </w:r>
          </w:p>
        </w:tc>
        <w:tc>
          <w:tcPr>
            <w:tcW w:w="1366" w:type="dxa"/>
            <w:noWrap/>
            <w:vAlign w:val="center"/>
          </w:tcPr>
          <w:p w14:paraId="41FE705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52F30E1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63175845">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4DBE8B6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2BEEF40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75AE63E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25430C3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33EDF0E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35398CA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15CE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2D9BC3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20</w:t>
            </w:r>
          </w:p>
        </w:tc>
        <w:tc>
          <w:tcPr>
            <w:tcW w:w="734" w:type="dxa"/>
            <w:noWrap/>
            <w:vAlign w:val="center"/>
          </w:tcPr>
          <w:p w14:paraId="1E7182C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3D785E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电影放映单位许可</w:t>
            </w:r>
          </w:p>
        </w:tc>
        <w:tc>
          <w:tcPr>
            <w:tcW w:w="2145" w:type="dxa"/>
            <w:noWrap/>
            <w:vAlign w:val="center"/>
          </w:tcPr>
          <w:p w14:paraId="70D4157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1E2A087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《电影管理条例》 《国务院关于第六批取消和调整行政审批项目的决定》</w:t>
            </w:r>
          </w:p>
        </w:tc>
        <w:tc>
          <w:tcPr>
            <w:tcW w:w="1366" w:type="dxa"/>
            <w:noWrap/>
            <w:vAlign w:val="center"/>
          </w:tcPr>
          <w:p w14:paraId="1339795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711647B8">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7988390B">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148AAF8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4711C90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016DCBC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4198FB9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5C3BDE8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3468F7A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44F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6379F1E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21</w:t>
            </w:r>
          </w:p>
        </w:tc>
        <w:tc>
          <w:tcPr>
            <w:tcW w:w="734" w:type="dxa"/>
            <w:noWrap/>
            <w:vAlign w:val="center"/>
          </w:tcPr>
          <w:p w14:paraId="2A25C79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4773ADF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从事包装装潢印刷品和其他印刷品印刷经营活动的企业设立、变更许可</w:t>
            </w:r>
          </w:p>
        </w:tc>
        <w:tc>
          <w:tcPr>
            <w:tcW w:w="2145" w:type="dxa"/>
            <w:noWrap/>
            <w:vAlign w:val="center"/>
          </w:tcPr>
          <w:p w14:paraId="321C47B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0949EAB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《印刷业管理条例》（国务院令第676号，2017年） 《国务院关于第六批取消和调整行政审批项目的决定》（国发2012）52号</w:t>
            </w:r>
          </w:p>
        </w:tc>
        <w:tc>
          <w:tcPr>
            <w:tcW w:w="1366" w:type="dxa"/>
            <w:noWrap/>
            <w:vAlign w:val="center"/>
          </w:tcPr>
          <w:p w14:paraId="3EA6F5F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4F5ED9C8">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6C9960B4">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028E760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115B36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6CBB36B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41DFA97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2793DA6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698AA61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AAD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545D00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22</w:t>
            </w:r>
          </w:p>
        </w:tc>
        <w:tc>
          <w:tcPr>
            <w:tcW w:w="734" w:type="dxa"/>
            <w:noWrap/>
            <w:vAlign w:val="center"/>
          </w:tcPr>
          <w:p w14:paraId="14CA799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B7ADB5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出版物零售单位设立、变更许可</w:t>
            </w:r>
          </w:p>
        </w:tc>
        <w:tc>
          <w:tcPr>
            <w:tcW w:w="2145" w:type="dxa"/>
            <w:noWrap/>
            <w:vAlign w:val="center"/>
          </w:tcPr>
          <w:p w14:paraId="091F4A2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28AD93F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《出版管理条例》（国务院令第653号，2016年修订）</w:t>
            </w:r>
          </w:p>
        </w:tc>
        <w:tc>
          <w:tcPr>
            <w:tcW w:w="1366" w:type="dxa"/>
            <w:noWrap/>
            <w:vAlign w:val="center"/>
          </w:tcPr>
          <w:p w14:paraId="737A919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726EA383">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4E8EC37A">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3034E05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0E31B54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7137884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2E5457D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6B83404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400AFB8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462D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110EF14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23</w:t>
            </w:r>
          </w:p>
        </w:tc>
        <w:tc>
          <w:tcPr>
            <w:tcW w:w="734" w:type="dxa"/>
            <w:noWrap/>
            <w:vAlign w:val="center"/>
          </w:tcPr>
          <w:p w14:paraId="7B19D8A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ign w:val="center"/>
          </w:tcPr>
          <w:p w14:paraId="306F380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设立旅行社许可（市级权限委托实施）</w:t>
            </w:r>
          </w:p>
        </w:tc>
        <w:tc>
          <w:tcPr>
            <w:tcW w:w="2145" w:type="dxa"/>
            <w:noWrap/>
            <w:vAlign w:val="center"/>
          </w:tcPr>
          <w:p w14:paraId="19BB95F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ign w:val="center"/>
          </w:tcPr>
          <w:p w14:paraId="2DDA658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《中华人民共和国旅游法》（2013年） 《旅行社条例》（国务院令第550号，2016年修改） 《旅行社条例实施细则》（</w:t>
            </w:r>
            <w:r>
              <w:rPr>
                <w:rFonts w:hint="eastAsia" w:ascii="仿宋_GB2312" w:hAnsi="Times New Roman" w:eastAsia="仿宋_GB2312"/>
                <w:color w:val="FF0000"/>
                <w:sz w:val="18"/>
                <w:szCs w:val="18"/>
                <w:lang w:eastAsia="zh-CN"/>
              </w:rPr>
              <w:t>国家旅游局</w:t>
            </w:r>
            <w:r>
              <w:rPr>
                <w:rFonts w:hint="eastAsia" w:ascii="仿宋_GB2312" w:hAnsi="Times New Roman" w:eastAsia="仿宋_GB2312"/>
                <w:color w:val="FF0000"/>
                <w:sz w:val="18"/>
                <w:szCs w:val="18"/>
              </w:rPr>
              <w:t>第30号令，2016年修改）</w:t>
            </w:r>
          </w:p>
        </w:tc>
        <w:tc>
          <w:tcPr>
            <w:tcW w:w="1366" w:type="dxa"/>
            <w:noWrap/>
            <w:vAlign w:val="center"/>
          </w:tcPr>
          <w:p w14:paraId="5B5A239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ign w:val="center"/>
          </w:tcPr>
          <w:p w14:paraId="47C4CD99">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noWrap/>
            <w:vAlign w:val="center"/>
          </w:tcPr>
          <w:p w14:paraId="6D3D0C1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ign w:val="center"/>
          </w:tcPr>
          <w:p w14:paraId="4EF1180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ign w:val="center"/>
          </w:tcPr>
          <w:p w14:paraId="6EAAF98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ign w:val="center"/>
          </w:tcPr>
          <w:p w14:paraId="47AD858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ign w:val="center"/>
          </w:tcPr>
          <w:p w14:paraId="0916CD5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ign w:val="center"/>
          </w:tcPr>
          <w:p w14:paraId="270219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ign w:val="center"/>
          </w:tcPr>
          <w:p w14:paraId="75C6C94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bl>
    <w:p w14:paraId="5FA59014">
      <w:pPr>
        <w:rPr>
          <w:color w:val="FF000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1983"/>
    <w:rsid w:val="003C532D"/>
    <w:rsid w:val="005F1983"/>
    <w:rsid w:val="0076014A"/>
    <w:rsid w:val="16BD22D0"/>
    <w:rsid w:val="490E3700"/>
    <w:rsid w:val="7BDFEE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3408</Words>
  <Characters>3612</Characters>
  <Lines>29</Lines>
  <Paragraphs>8</Paragraphs>
  <TotalTime>0</TotalTime>
  <ScaleCrop>false</ScaleCrop>
  <LinksUpToDate>false</LinksUpToDate>
  <CharactersWithSpaces>3740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user</dc:creator>
  <cp:lastModifiedBy>WPS_1559554350</cp:lastModifiedBy>
  <dcterms:modified xsi:type="dcterms:W3CDTF">2025-09-05T06:46:44Z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459E82F0ADE047BB839DE9BAC02A9E8A_12</vt:lpwstr>
  </property>
</Properties>
</file>