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BAF" w:rsidRDefault="00491A3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市政服务领域基层政务公开标准目录</w:t>
      </w:r>
      <w:bookmarkEnd w:id="0"/>
    </w:p>
    <w:tbl>
      <w:tblPr>
        <w:tblW w:w="14952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 w:rsidR="00676BAF">
        <w:trPr>
          <w:cantSplit/>
        </w:trPr>
        <w:tc>
          <w:tcPr>
            <w:tcW w:w="540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676BAF">
        <w:trPr>
          <w:cantSplit/>
        </w:trPr>
        <w:tc>
          <w:tcPr>
            <w:tcW w:w="540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/>
            <w:vAlign w:val="center"/>
          </w:tcPr>
          <w:p w:rsidR="00676BAF" w:rsidRDefault="00676BAF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vAlign w:val="center"/>
          </w:tcPr>
          <w:p w:rsidR="00676BAF" w:rsidRDefault="00491A3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bookmarkStart w:id="1" w:name="_GoBack" w:colFirst="0" w:colLast="13"/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城镇燃气管理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燃气经营者改动市政燃气设施许可（中、低压部分武清、宝坻、宁河、静海、</w:t>
            </w:r>
            <w:proofErr w:type="gramStart"/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蓟</w:t>
            </w:r>
            <w:proofErr w:type="gramEnd"/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法定依据   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法定依据   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法定依据  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bookmarkEnd w:id="1"/>
      <w:tr w:rsidR="00676BAF">
        <w:trPr>
          <w:cantSplit/>
        </w:trPr>
        <w:tc>
          <w:tcPr>
            <w:tcW w:w="540" w:type="dxa"/>
            <w:vAlign w:val="center"/>
          </w:tcPr>
          <w:p w:rsidR="00676BAF" w:rsidRPr="009C2C88" w:rsidRDefault="00491A3D">
            <w:pPr>
              <w:jc w:val="center"/>
              <w:rPr>
                <w:rFonts w:ascii="仿宋_GB2312" w:eastAsia="仿宋_GB2312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lastRenderedPageBreak/>
              <w:t>4</w:t>
            </w:r>
          </w:p>
        </w:tc>
        <w:tc>
          <w:tcPr>
            <w:tcW w:w="900" w:type="dxa"/>
            <w:vAlign w:val="center"/>
          </w:tcPr>
          <w:p w:rsidR="00676BAF" w:rsidRPr="009C2C88" w:rsidRDefault="00491A3D">
            <w:pPr>
              <w:rPr>
                <w:rFonts w:ascii="仿宋_GB2312" w:eastAsia="仿宋_GB2312" w:hAnsi="宋体" w:cs="宋体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676BAF" w:rsidRPr="009C2C88" w:rsidRDefault="00491A3D">
            <w:pPr>
              <w:rPr>
                <w:rFonts w:ascii="仿宋_GB2312" w:eastAsia="仿宋_GB2312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t>户外广告及临时悬挂、设置标语或宣传品许可</w:t>
            </w:r>
          </w:p>
        </w:tc>
        <w:tc>
          <w:tcPr>
            <w:tcW w:w="1815" w:type="dxa"/>
            <w:vAlign w:val="center"/>
          </w:tcPr>
          <w:p w:rsidR="00676BAF" w:rsidRPr="009C2C88" w:rsidRDefault="00491A3D">
            <w:pPr>
              <w:rPr>
                <w:rFonts w:ascii="仿宋_GB2312" w:eastAsia="仿宋_GB2312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t>申请条件、</w:t>
            </w: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br/>
              <w:t xml:space="preserve">  申请材料、</w:t>
            </w: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br/>
              <w:t xml:space="preserve">  申请流程、</w:t>
            </w: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br/>
              <w:t xml:space="preserve">法定依据  </w:t>
            </w:r>
          </w:p>
        </w:tc>
        <w:tc>
          <w:tcPr>
            <w:tcW w:w="2013" w:type="dxa"/>
            <w:vAlign w:val="center"/>
          </w:tcPr>
          <w:p w:rsidR="009C2C88" w:rsidRPr="009C2C88" w:rsidRDefault="009C2C88" w:rsidP="009C2C88">
            <w:pPr>
              <w:pStyle w:val="a3"/>
              <w:spacing w:before="0" w:beforeAutospacing="0" w:after="0" w:afterAutospacing="0"/>
              <w:ind w:firstLine="480"/>
              <w:jc w:val="both"/>
              <w:rPr>
                <w:rFonts w:ascii="仿宋_GB2312" w:eastAsia="仿宋_GB2312" w:hAnsi="Calibri" w:cs="Times New Roman"/>
                <w:color w:val="00B0F0"/>
                <w:kern w:val="2"/>
                <w:sz w:val="18"/>
                <w:szCs w:val="18"/>
              </w:rPr>
            </w:pPr>
            <w:r w:rsidRPr="009C2C88">
              <w:rPr>
                <w:rFonts w:ascii="仿宋_GB2312" w:eastAsia="仿宋_GB2312" w:hAnsi="Calibri" w:cs="Times New Roman" w:hint="eastAsia"/>
                <w:color w:val="00B0F0"/>
                <w:kern w:val="2"/>
                <w:sz w:val="18"/>
                <w:szCs w:val="18"/>
              </w:rPr>
              <w:t>1.《广告管理条例》（1987年国发[1987]94号）第十一条 申请刊播、设置、张贴下列广告，应当提交有关证明：</w:t>
            </w:r>
          </w:p>
          <w:p w:rsidR="009C2C88" w:rsidRPr="009C2C88" w:rsidRDefault="009C2C88" w:rsidP="009C2C88">
            <w:pPr>
              <w:pStyle w:val="a3"/>
              <w:spacing w:before="0" w:beforeAutospacing="0" w:after="0" w:afterAutospacing="0"/>
              <w:ind w:firstLine="480"/>
              <w:jc w:val="both"/>
              <w:rPr>
                <w:rFonts w:ascii="仿宋_GB2312" w:eastAsia="仿宋_GB2312" w:hAnsi="Calibri" w:cs="Times New Roman"/>
                <w:color w:val="00B0F0"/>
                <w:kern w:val="2"/>
                <w:sz w:val="18"/>
                <w:szCs w:val="18"/>
              </w:rPr>
            </w:pPr>
            <w:r w:rsidRPr="009C2C88">
              <w:rPr>
                <w:rFonts w:ascii="仿宋_GB2312" w:eastAsia="仿宋_GB2312" w:hAnsi="Calibri" w:cs="Times New Roman" w:hint="eastAsia"/>
                <w:color w:val="00B0F0"/>
                <w:kern w:val="2"/>
                <w:sz w:val="18"/>
                <w:szCs w:val="18"/>
              </w:rPr>
              <w:t>（八）其他各类广告，需要提交证明的，应当提交政府有关部门或者其授权单位的证明。</w:t>
            </w:r>
          </w:p>
          <w:p w:rsidR="009C2C88" w:rsidRPr="009C2C88" w:rsidRDefault="009C2C88" w:rsidP="009C2C88">
            <w:pPr>
              <w:pStyle w:val="a3"/>
              <w:spacing w:before="0" w:beforeAutospacing="0" w:after="0" w:afterAutospacing="0"/>
              <w:ind w:firstLine="480"/>
              <w:jc w:val="both"/>
              <w:rPr>
                <w:rFonts w:ascii="仿宋_GB2312" w:eastAsia="仿宋_GB2312" w:hAnsi="Calibri" w:cs="Times New Roman"/>
                <w:color w:val="00B0F0"/>
                <w:kern w:val="2"/>
                <w:sz w:val="18"/>
                <w:szCs w:val="18"/>
              </w:rPr>
            </w:pPr>
            <w:r w:rsidRPr="009C2C88">
              <w:rPr>
                <w:rFonts w:ascii="仿宋_GB2312" w:eastAsia="仿宋_GB2312" w:hAnsi="Calibri" w:cs="Times New Roman" w:hint="eastAsia"/>
                <w:color w:val="00B0F0"/>
                <w:kern w:val="2"/>
                <w:sz w:val="18"/>
                <w:szCs w:val="18"/>
              </w:rPr>
              <w:t>2.《广告管理条例实施（施行）细则》（2004年国家工商行政管理总局令第18号）第十二条 根据《条例》第十一条第（八）项的规定，申请刊播下列内容的广告，应当提交有关证明：</w:t>
            </w:r>
          </w:p>
          <w:p w:rsidR="009C2C88" w:rsidRPr="009C2C88" w:rsidRDefault="009C2C88" w:rsidP="009C2C88">
            <w:pPr>
              <w:pStyle w:val="a3"/>
              <w:spacing w:before="0" w:beforeAutospacing="0" w:after="0" w:afterAutospacing="0"/>
              <w:ind w:firstLine="480"/>
              <w:jc w:val="both"/>
              <w:rPr>
                <w:rFonts w:ascii="仿宋_GB2312" w:eastAsia="仿宋_GB2312" w:hAnsi="Calibri" w:cs="Times New Roman"/>
                <w:color w:val="00B0F0"/>
                <w:kern w:val="2"/>
                <w:sz w:val="18"/>
                <w:szCs w:val="18"/>
              </w:rPr>
            </w:pPr>
            <w:r w:rsidRPr="009C2C88">
              <w:rPr>
                <w:rFonts w:ascii="仿宋_GB2312" w:eastAsia="仿宋_GB2312" w:hAnsi="Calibri" w:cs="Times New Roman" w:hint="eastAsia"/>
                <w:color w:val="00B0F0"/>
                <w:kern w:val="2"/>
                <w:sz w:val="18"/>
                <w:szCs w:val="18"/>
              </w:rPr>
              <w:t>（一）各类展销会、订货会、交易会等广告，应当提交主办单位主管部门批准的证明。</w:t>
            </w:r>
          </w:p>
          <w:p w:rsidR="00676BAF" w:rsidRPr="009C2C88" w:rsidRDefault="009C2C88" w:rsidP="009C2C88">
            <w:pPr>
              <w:rPr>
                <w:rFonts w:ascii="仿宋_GB2312" w:eastAsia="仿宋_GB2312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t>（二）个人启事、声明等广告，应当提交所在单位、乡（镇）人民政府或街道办事处出具的证明。</w:t>
            </w:r>
          </w:p>
        </w:tc>
        <w:tc>
          <w:tcPr>
            <w:tcW w:w="1227" w:type="dxa"/>
            <w:vAlign w:val="center"/>
          </w:tcPr>
          <w:p w:rsidR="00676BAF" w:rsidRPr="009C2C88" w:rsidRDefault="00491A3D">
            <w:pPr>
              <w:jc w:val="center"/>
              <w:rPr>
                <w:rFonts w:ascii="仿宋_GB2312" w:eastAsia="仿宋_GB2312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Ansi="Times New Roman" w:hint="eastAsia"/>
                <w:color w:val="00B0F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9C2C88">
              <w:rPr>
                <w:rFonts w:ascii="仿宋_GB2312" w:eastAsia="仿宋_GB2312" w:hAnsi="Times New Roman" w:hint="eastAsia"/>
                <w:color w:val="00B0F0"/>
                <w:sz w:val="18"/>
                <w:szCs w:val="18"/>
              </w:rPr>
              <w:t>作出</w:t>
            </w:r>
            <w:proofErr w:type="gramEnd"/>
            <w:r w:rsidRPr="009C2C88">
              <w:rPr>
                <w:rFonts w:ascii="仿宋_GB2312" w:eastAsia="仿宋_GB2312" w:hAnsi="Times New Roman" w:hint="eastAsia"/>
                <w:color w:val="00B0F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9C2C88" w:rsidRDefault="009C2C88">
            <w:pPr>
              <w:jc w:val="center"/>
              <w:rPr>
                <w:rFonts w:ascii="仿宋_GB2312" w:eastAsia="仿宋_GB2312"/>
                <w:color w:val="00B0F0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Times New Roman" w:hint="eastAsia"/>
                <w:color w:val="00B0F0"/>
                <w:sz w:val="18"/>
                <w:szCs w:val="18"/>
              </w:rPr>
              <w:t>霍各庄</w:t>
            </w:r>
            <w:proofErr w:type="gramEnd"/>
            <w:r>
              <w:rPr>
                <w:rFonts w:ascii="仿宋_GB2312" w:eastAsia="仿宋_GB2312" w:hAnsi="Times New Roman" w:hint="eastAsia"/>
                <w:color w:val="00B0F0"/>
                <w:sz w:val="18"/>
                <w:szCs w:val="18"/>
              </w:rPr>
              <w:t>镇人民政府</w:t>
            </w:r>
          </w:p>
        </w:tc>
        <w:tc>
          <w:tcPr>
            <w:tcW w:w="1860" w:type="dxa"/>
            <w:vAlign w:val="center"/>
          </w:tcPr>
          <w:p w:rsidR="00676BAF" w:rsidRPr="009C2C88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■</w:t>
            </w:r>
            <w:r w:rsidR="009C2C88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精准推送</w:t>
            </w:r>
          </w:p>
        </w:tc>
        <w:tc>
          <w:tcPr>
            <w:tcW w:w="720" w:type="dxa"/>
            <w:vAlign w:val="center"/>
          </w:tcPr>
          <w:p w:rsidR="00676BAF" w:rsidRPr="009C2C88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Ansi="宋体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9C2C88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9C2C88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Ansi="宋体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9C2C88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9C2C88" w:rsidRDefault="00491A3D">
            <w:pPr>
              <w:widowControl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C2C88">
              <w:rPr>
                <w:rFonts w:ascii="仿宋_GB2312" w:eastAsia="仿宋_GB2312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9C2C88" w:rsidRDefault="009C2C88">
            <w:pPr>
              <w:widowControl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对关闭、闲置、拆除环卫设施的许可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法定依据 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</w:t>
            </w:r>
            <w:proofErr w:type="gramStart"/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建设部令第</w:t>
            </w:r>
            <w:proofErr w:type="gramEnd"/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157 号，2007年）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法定依据 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城市园林绿化管理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工程建设涉及城市绿地、树木许可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8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从事城市生活垃圾经营性清扫、收集、运输服务许可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履带车、铁轮车或者超限车上路行驶许可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676BAF">
        <w:trPr>
          <w:cantSplit/>
        </w:trPr>
        <w:tc>
          <w:tcPr>
            <w:tcW w:w="540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00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城市建筑垃圾处置许可</w:t>
            </w:r>
          </w:p>
        </w:tc>
        <w:tc>
          <w:tcPr>
            <w:tcW w:w="1815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申请条件、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申请材料、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 xml:space="preserve">  申请流程、</w:t>
            </w: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676BAF" w:rsidRPr="00D34C76" w:rsidRDefault="00491A3D"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信息形成20个工作日内公开；其中行政许可事项应自</w:t>
            </w:r>
            <w:proofErr w:type="gramStart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行政决定之日起7个工作日内公示</w:t>
            </w:r>
          </w:p>
        </w:tc>
        <w:tc>
          <w:tcPr>
            <w:tcW w:w="1335" w:type="dxa"/>
            <w:vAlign w:val="center"/>
          </w:tcPr>
          <w:p w:rsidR="00676BAF" w:rsidRPr="00D34C76" w:rsidRDefault="00491A3D"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Times New Roman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86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676BAF" w:rsidRPr="00D34C76" w:rsidRDefault="00491A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676BAF" w:rsidRPr="00D34C76" w:rsidRDefault="00676BA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676BAF" w:rsidRPr="00D34C76" w:rsidRDefault="00491A3D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34C76">
              <w:rPr>
                <w:rFonts w:ascii="仿宋_GB2312" w:eastAsia="仿宋_GB2312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676BAF" w:rsidRPr="00D34C76" w:rsidRDefault="00676BAF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</w:tbl>
    <w:p w:rsidR="00676BAF" w:rsidRDefault="00676BAF"/>
    <w:sectPr w:rsidR="00676B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AF"/>
    <w:rsid w:val="00491A3D"/>
    <w:rsid w:val="00676BAF"/>
    <w:rsid w:val="009C2C88"/>
    <w:rsid w:val="00D34C76"/>
    <w:rsid w:val="30E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D7E1A1-16EA-49C9-BE56-A929D810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C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2014-10-29T12:08:00Z</dcterms:created>
  <dcterms:modified xsi:type="dcterms:W3CDTF">2020-09-02T03:39:00Z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