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公共文化服务领域基层政务公开标准目录</w:t>
      </w:r>
    </w:p>
    <w:tbl>
      <w:tblPr>
        <w:tblStyle w:val="4"/>
        <w:tblW w:w="15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34"/>
        <w:gridCol w:w="1082"/>
        <w:gridCol w:w="2145"/>
        <w:gridCol w:w="2159"/>
        <w:gridCol w:w="1366"/>
        <w:gridCol w:w="1410"/>
        <w:gridCol w:w="1860"/>
        <w:gridCol w:w="705"/>
        <w:gridCol w:w="660"/>
        <w:gridCol w:w="495"/>
        <w:gridCol w:w="735"/>
        <w:gridCol w:w="533"/>
        <w:gridCol w:w="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noWrap w:val="0"/>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816"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2145"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159"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366"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1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860" w:type="dxa"/>
            <w:vMerge w:val="restart"/>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365"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3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155"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noWrap w:val="0"/>
            <w:vAlign w:val="center"/>
          </w:tcPr>
          <w:p>
            <w:pPr>
              <w:widowControl/>
              <w:jc w:val="left"/>
              <w:rPr>
                <w:rFonts w:ascii="Times New Roman" w:hAnsi="Times New Roman"/>
                <w:color w:val="000000"/>
                <w:kern w:val="0"/>
                <w:sz w:val="22"/>
              </w:rPr>
            </w:pPr>
          </w:p>
        </w:tc>
        <w:tc>
          <w:tcPr>
            <w:tcW w:w="734"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082"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2145" w:type="dxa"/>
            <w:vMerge w:val="continue"/>
            <w:noWrap w:val="0"/>
            <w:vAlign w:val="center"/>
          </w:tcPr>
          <w:p>
            <w:pPr>
              <w:widowControl/>
              <w:jc w:val="left"/>
              <w:rPr>
                <w:rFonts w:ascii="黑体" w:hAnsi="宋体" w:eastAsia="黑体" w:cs="宋体"/>
                <w:color w:val="000000"/>
                <w:kern w:val="0"/>
                <w:sz w:val="22"/>
              </w:rPr>
            </w:pPr>
          </w:p>
        </w:tc>
        <w:tc>
          <w:tcPr>
            <w:tcW w:w="2159" w:type="dxa"/>
            <w:vMerge w:val="continue"/>
            <w:noWrap w:val="0"/>
            <w:vAlign w:val="center"/>
          </w:tcPr>
          <w:p>
            <w:pPr>
              <w:widowControl/>
              <w:jc w:val="left"/>
              <w:rPr>
                <w:rFonts w:ascii="黑体" w:hAnsi="宋体" w:eastAsia="黑体" w:cs="宋体"/>
                <w:color w:val="000000"/>
                <w:kern w:val="0"/>
                <w:sz w:val="22"/>
              </w:rPr>
            </w:pPr>
          </w:p>
        </w:tc>
        <w:tc>
          <w:tcPr>
            <w:tcW w:w="1366" w:type="dxa"/>
            <w:vMerge w:val="continue"/>
            <w:noWrap w:val="0"/>
            <w:vAlign w:val="center"/>
          </w:tcPr>
          <w:p>
            <w:pPr>
              <w:widowControl/>
              <w:jc w:val="left"/>
              <w:rPr>
                <w:rFonts w:ascii="黑体" w:hAnsi="宋体" w:eastAsia="黑体" w:cs="宋体"/>
                <w:color w:val="000000"/>
                <w:kern w:val="0"/>
                <w:sz w:val="22"/>
              </w:rPr>
            </w:pPr>
          </w:p>
        </w:tc>
        <w:tc>
          <w:tcPr>
            <w:tcW w:w="1410" w:type="dxa"/>
            <w:vMerge w:val="continue"/>
            <w:noWrap w:val="0"/>
            <w:vAlign w:val="center"/>
          </w:tcPr>
          <w:p>
            <w:pPr>
              <w:widowControl/>
              <w:jc w:val="left"/>
              <w:rPr>
                <w:rFonts w:ascii="黑体" w:hAnsi="宋体" w:eastAsia="黑体" w:cs="宋体"/>
                <w:color w:val="000000"/>
                <w:kern w:val="0"/>
                <w:sz w:val="22"/>
              </w:rPr>
            </w:pPr>
          </w:p>
        </w:tc>
        <w:tc>
          <w:tcPr>
            <w:tcW w:w="1860" w:type="dxa"/>
            <w:vMerge w:val="continue"/>
            <w:noWrap w:val="0"/>
            <w:vAlign w:val="center"/>
          </w:tcPr>
          <w:p>
            <w:pPr>
              <w:widowControl/>
              <w:jc w:val="left"/>
              <w:rPr>
                <w:rFonts w:ascii="黑体" w:hAnsi="宋体" w:eastAsia="黑体" w:cs="宋体"/>
                <w:kern w:val="0"/>
                <w:sz w:val="22"/>
              </w:rPr>
            </w:pPr>
          </w:p>
        </w:tc>
        <w:tc>
          <w:tcPr>
            <w:tcW w:w="705"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66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495"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35"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33"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622"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eastAsia" w:ascii="仿宋_GB2312" w:hAnsi="Times New Roman" w:eastAsia="仿宋_GB2312"/>
                <w:color w:val="FF0000"/>
                <w:sz w:val="18"/>
                <w:szCs w:val="18"/>
              </w:rPr>
            </w:pPr>
            <w:bookmarkStart w:id="0" w:name="_GoBack"/>
            <w:r>
              <w:rPr>
                <w:rFonts w:hint="eastAsia" w:ascii="仿宋_GB2312" w:hAnsi="Times New Roman" w:eastAsia="仿宋_GB2312"/>
                <w:color w:val="FF0000"/>
                <w:sz w:val="18"/>
                <w:szCs w:val="18"/>
              </w:rPr>
              <w:t>1</w:t>
            </w:r>
          </w:p>
        </w:tc>
        <w:tc>
          <w:tcPr>
            <w:tcW w:w="734" w:type="dxa"/>
            <w:vMerge w:val="restart"/>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互联网上网服务营业场所经营许可</w:t>
            </w:r>
          </w:p>
        </w:tc>
        <w:tc>
          <w:tcPr>
            <w:tcW w:w="2145"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1.办事指南：主要包括事项名称、设定依据、申请条件、办理材料、办理地点、办理时间、联系电话、办理流程、办理期限、申请行政许可需要提交的全部材料目录及办理情况;</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《互联网上网服务营业场所管理条例》（国务院令第363号，2016年修订）</w:t>
            </w:r>
          </w:p>
        </w:tc>
        <w:tc>
          <w:tcPr>
            <w:tcW w:w="1366"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0"/>
            <w:vAlign w:val="center"/>
          </w:tcPr>
          <w:p>
            <w:pPr>
              <w:adjustRightInd w:val="0"/>
              <w:snapToGrid w:val="0"/>
              <w:jc w:val="center"/>
              <w:rPr>
                <w:rFonts w:hint="eastAsia" w:ascii="仿宋_GB2312" w:hAnsi="Times New Roman" w:eastAsia="仿宋_GB2312"/>
                <w:color w:val="FF0000"/>
                <w:sz w:val="18"/>
                <w:szCs w:val="18"/>
              </w:rPr>
            </w:pPr>
            <w:r>
              <w:rPr>
                <w:rFonts w:ascii="仿宋_GB2312" w:hAnsi="宋体" w:eastAsia="仿宋_GB2312"/>
                <w:color w:val="FF0000"/>
                <w:sz w:val="18"/>
                <w:szCs w:val="18"/>
              </w:rPr>
              <w:t>√</w:t>
            </w:r>
          </w:p>
        </w:tc>
        <w:tc>
          <w:tcPr>
            <w:tcW w:w="660" w:type="dxa"/>
            <w:noWrap w:val="0"/>
            <w:vAlign w:val="center"/>
          </w:tcPr>
          <w:p>
            <w:pPr>
              <w:adjustRightInd w:val="0"/>
              <w:snapToGrid w:val="0"/>
              <w:jc w:val="center"/>
              <w:rPr>
                <w:rFonts w:hint="eastAsia" w:ascii="仿宋_GB2312" w:hAnsi="Times New Roman" w:eastAsia="仿宋_GB2312"/>
                <w:color w:val="FF0000"/>
                <w:sz w:val="18"/>
                <w:szCs w:val="18"/>
              </w:rPr>
            </w:pPr>
          </w:p>
        </w:tc>
        <w:tc>
          <w:tcPr>
            <w:tcW w:w="495" w:type="dxa"/>
            <w:noWrap w:val="0"/>
            <w:vAlign w:val="center"/>
          </w:tcPr>
          <w:p>
            <w:pPr>
              <w:adjustRightInd w:val="0"/>
              <w:snapToGrid w:val="0"/>
              <w:jc w:val="center"/>
              <w:rPr>
                <w:rFonts w:hint="eastAsia" w:ascii="仿宋_GB2312" w:hAnsi="Times New Roman" w:eastAsia="仿宋_GB2312"/>
                <w:color w:val="FF0000"/>
                <w:sz w:val="18"/>
                <w:szCs w:val="18"/>
              </w:rPr>
            </w:pPr>
            <w:r>
              <w:rPr>
                <w:rFonts w:ascii="仿宋_GB2312" w:hAnsi="宋体" w:eastAsia="仿宋_GB2312"/>
                <w:color w:val="FF0000"/>
                <w:sz w:val="18"/>
                <w:szCs w:val="18"/>
              </w:rPr>
              <w:t>√</w:t>
            </w:r>
          </w:p>
        </w:tc>
        <w:tc>
          <w:tcPr>
            <w:tcW w:w="735" w:type="dxa"/>
            <w:noWrap w:val="0"/>
            <w:vAlign w:val="center"/>
          </w:tcPr>
          <w:p>
            <w:pPr>
              <w:adjustRightInd w:val="0"/>
              <w:snapToGrid w:val="0"/>
              <w:jc w:val="center"/>
              <w:rPr>
                <w:rFonts w:hint="eastAsia" w:ascii="仿宋_GB2312" w:hAnsi="Times New Roman" w:eastAsia="仿宋_GB2312"/>
                <w:color w:val="FF0000"/>
                <w:sz w:val="18"/>
                <w:szCs w:val="18"/>
              </w:rPr>
            </w:pPr>
          </w:p>
        </w:tc>
        <w:tc>
          <w:tcPr>
            <w:tcW w:w="533" w:type="dxa"/>
            <w:noWrap w:val="0"/>
            <w:vAlign w:val="center"/>
          </w:tcPr>
          <w:p>
            <w:pPr>
              <w:widowControl/>
              <w:jc w:val="center"/>
              <w:rPr>
                <w:rFonts w:hint="eastAsia" w:ascii="仿宋_GB2312" w:hAnsi="Times New Roman" w:eastAsia="仿宋_GB2312"/>
                <w:color w:val="FF0000"/>
                <w:sz w:val="18"/>
                <w:szCs w:val="18"/>
              </w:rPr>
            </w:pPr>
            <w:r>
              <w:rPr>
                <w:rFonts w:hint="eastAsia" w:ascii="仿宋_GB2312" w:eastAsia="仿宋_GB2312"/>
                <w:color w:val="FF0000"/>
                <w:sz w:val="18"/>
                <w:szCs w:val="18"/>
                <w:highlight w:val="none"/>
              </w:rPr>
              <w:t>√</w:t>
            </w:r>
          </w:p>
        </w:tc>
        <w:tc>
          <w:tcPr>
            <w:tcW w:w="622" w:type="dxa"/>
            <w:noWrap w:val="0"/>
            <w:vAlign w:val="center"/>
          </w:tcPr>
          <w:p>
            <w:pPr>
              <w:widowControl/>
              <w:jc w:val="center"/>
              <w:rPr>
                <w:rFonts w:hint="eastAsia" w:ascii="仿宋_GB2312" w:hAnsi="Times New Roman"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2</w:t>
            </w:r>
          </w:p>
        </w:tc>
        <w:tc>
          <w:tcPr>
            <w:tcW w:w="734" w:type="dxa"/>
            <w:vMerge w:val="continue"/>
            <w:noWrap w:val="0"/>
            <w:vAlign w:val="center"/>
          </w:tcPr>
          <w:p>
            <w:pPr>
              <w:spacing w:line="240" w:lineRule="exact"/>
              <w:rPr>
                <w:rFonts w:hint="eastAsia" w:ascii="仿宋_GB2312" w:hAnsi="Times New Roman" w:eastAsia="仿宋_GB2312"/>
                <w:color w:val="FF0000"/>
                <w:sz w:val="18"/>
                <w:szCs w:val="18"/>
              </w:rPr>
            </w:pPr>
          </w:p>
        </w:tc>
        <w:tc>
          <w:tcPr>
            <w:tcW w:w="1082"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文艺表演团体设立审批</w:t>
            </w:r>
          </w:p>
        </w:tc>
        <w:tc>
          <w:tcPr>
            <w:tcW w:w="2145"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《营业性演出管理条例》（国务院令第439号,2016年） 《营业性演出管理条例实施细则》（文化部令第47号，2009年）</w:t>
            </w:r>
          </w:p>
        </w:tc>
        <w:tc>
          <w:tcPr>
            <w:tcW w:w="1366"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sz w:val="18"/>
                <w:szCs w:val="18"/>
              </w:rPr>
            </w:pPr>
            <w:r>
              <w:rPr>
                <w:rFonts w:hint="eastAsia" w:ascii="仿宋_GB2312" w:hAnsi="宋体" w:eastAsia="仿宋_GB2312"/>
                <w:color w:val="FF0000"/>
                <w:sz w:val="18"/>
                <w:szCs w:val="18"/>
              </w:rPr>
              <w:t>■天津网上办事大厅</w:t>
            </w:r>
          </w:p>
        </w:tc>
        <w:tc>
          <w:tcPr>
            <w:tcW w:w="705" w:type="dxa"/>
            <w:noWrap w:val="0"/>
            <w:vAlign w:val="center"/>
          </w:tcPr>
          <w:p>
            <w:pPr>
              <w:adjustRightInd w:val="0"/>
              <w:snapToGrid w:val="0"/>
              <w:jc w:val="center"/>
              <w:rPr>
                <w:rFonts w:hint="eastAsia" w:ascii="仿宋_GB2312" w:hAnsi="Times New Roman" w:eastAsia="仿宋_GB2312"/>
                <w:color w:val="FF0000"/>
                <w:sz w:val="18"/>
                <w:szCs w:val="18"/>
              </w:rPr>
            </w:pPr>
            <w:r>
              <w:rPr>
                <w:rFonts w:ascii="仿宋_GB2312" w:hAnsi="宋体" w:eastAsia="仿宋_GB2312"/>
                <w:color w:val="FF0000"/>
                <w:sz w:val="18"/>
                <w:szCs w:val="18"/>
              </w:rPr>
              <w:t>√</w:t>
            </w:r>
          </w:p>
        </w:tc>
        <w:tc>
          <w:tcPr>
            <w:tcW w:w="660" w:type="dxa"/>
            <w:noWrap w:val="0"/>
            <w:vAlign w:val="center"/>
          </w:tcPr>
          <w:p>
            <w:pPr>
              <w:adjustRightInd w:val="0"/>
              <w:snapToGrid w:val="0"/>
              <w:jc w:val="center"/>
              <w:rPr>
                <w:rFonts w:hint="eastAsia" w:ascii="仿宋_GB2312" w:hAnsi="Times New Roman" w:eastAsia="仿宋_GB2312"/>
                <w:color w:val="FF0000"/>
                <w:sz w:val="18"/>
                <w:szCs w:val="18"/>
              </w:rPr>
            </w:pPr>
          </w:p>
        </w:tc>
        <w:tc>
          <w:tcPr>
            <w:tcW w:w="495" w:type="dxa"/>
            <w:noWrap w:val="0"/>
            <w:vAlign w:val="center"/>
          </w:tcPr>
          <w:p>
            <w:pPr>
              <w:adjustRightInd w:val="0"/>
              <w:snapToGrid w:val="0"/>
              <w:jc w:val="center"/>
              <w:rPr>
                <w:rFonts w:hint="eastAsia" w:ascii="仿宋_GB2312" w:hAnsi="Times New Roman" w:eastAsia="仿宋_GB2312"/>
                <w:color w:val="FF0000"/>
                <w:sz w:val="18"/>
                <w:szCs w:val="18"/>
              </w:rPr>
            </w:pPr>
            <w:r>
              <w:rPr>
                <w:rFonts w:ascii="仿宋_GB2312" w:hAnsi="宋体" w:eastAsia="仿宋_GB2312"/>
                <w:color w:val="FF0000"/>
                <w:sz w:val="18"/>
                <w:szCs w:val="18"/>
              </w:rPr>
              <w:t>√</w:t>
            </w:r>
          </w:p>
        </w:tc>
        <w:tc>
          <w:tcPr>
            <w:tcW w:w="735" w:type="dxa"/>
            <w:noWrap w:val="0"/>
            <w:vAlign w:val="center"/>
          </w:tcPr>
          <w:p>
            <w:pPr>
              <w:adjustRightInd w:val="0"/>
              <w:snapToGrid w:val="0"/>
              <w:jc w:val="center"/>
              <w:rPr>
                <w:rFonts w:hint="eastAsia" w:ascii="仿宋_GB2312" w:hAnsi="Times New Roman" w:eastAsia="仿宋_GB2312"/>
                <w:color w:val="FF0000"/>
                <w:sz w:val="18"/>
                <w:szCs w:val="18"/>
              </w:rPr>
            </w:pPr>
          </w:p>
        </w:tc>
        <w:tc>
          <w:tcPr>
            <w:tcW w:w="533" w:type="dxa"/>
            <w:noWrap w:val="0"/>
            <w:vAlign w:val="center"/>
          </w:tcPr>
          <w:p>
            <w:pPr>
              <w:widowControl/>
              <w:jc w:val="center"/>
              <w:rPr>
                <w:rFonts w:hint="eastAsia" w:ascii="仿宋_GB2312" w:hAnsi="Times New Roman" w:eastAsia="仿宋_GB2312"/>
                <w:color w:val="FF0000"/>
                <w:sz w:val="18"/>
                <w:szCs w:val="18"/>
              </w:rPr>
            </w:pPr>
            <w:r>
              <w:rPr>
                <w:rFonts w:hint="eastAsia" w:ascii="仿宋_GB2312" w:eastAsia="仿宋_GB2312"/>
                <w:color w:val="FF0000"/>
                <w:sz w:val="18"/>
                <w:szCs w:val="18"/>
                <w:highlight w:val="none"/>
              </w:rPr>
              <w:t>√</w:t>
            </w:r>
          </w:p>
        </w:tc>
        <w:tc>
          <w:tcPr>
            <w:tcW w:w="622" w:type="dxa"/>
            <w:noWrap w:val="0"/>
            <w:vAlign w:val="center"/>
          </w:tcPr>
          <w:p>
            <w:pPr>
              <w:widowControl/>
              <w:jc w:val="center"/>
              <w:rPr>
                <w:rFonts w:hint="eastAsia" w:ascii="仿宋_GB2312" w:hAnsi="Times New Roman"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3</w:t>
            </w:r>
          </w:p>
        </w:tc>
        <w:tc>
          <w:tcPr>
            <w:tcW w:w="734"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营业性演出审批</w:t>
            </w:r>
          </w:p>
        </w:tc>
        <w:tc>
          <w:tcPr>
            <w:tcW w:w="2145"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《营业性演出管理条例》（国务院令第439号，2016年修订） 《营业性演出管理条例实施细则》（文化部令第47号）</w:t>
            </w:r>
          </w:p>
        </w:tc>
        <w:tc>
          <w:tcPr>
            <w:tcW w:w="1366"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4</w:t>
            </w:r>
          </w:p>
        </w:tc>
        <w:tc>
          <w:tcPr>
            <w:tcW w:w="734" w:type="dxa"/>
            <w:vMerge w:val="restart"/>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娱乐场所经营许可</w:t>
            </w:r>
          </w:p>
        </w:tc>
        <w:tc>
          <w:tcPr>
            <w:tcW w:w="2145"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《娱乐场所管理条例》（国务院令第458号，2016年修订） 《娱乐场所管理办法》（文化部令第55号）</w:t>
            </w:r>
          </w:p>
        </w:tc>
        <w:tc>
          <w:tcPr>
            <w:tcW w:w="1366"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eastAsia" w:ascii="仿宋_GB2312" w:hAnsi="Times New Roman" w:eastAsia="仿宋_GB2312"/>
                <w:color w:val="FF0000"/>
                <w:sz w:val="18"/>
                <w:szCs w:val="18"/>
                <w:lang w:eastAsia="zh-CN"/>
              </w:rPr>
            </w:pPr>
            <w:r>
              <w:rPr>
                <w:rFonts w:hint="eastAsia" w:ascii="仿宋_GB2312" w:hAnsi="Times New Roman" w:eastAsia="仿宋_GB2312"/>
                <w:color w:val="FF0000"/>
                <w:sz w:val="18"/>
                <w:szCs w:val="18"/>
                <w:lang w:val="en-US" w:eastAsia="zh-CN"/>
              </w:rPr>
              <w:t>5</w:t>
            </w:r>
          </w:p>
        </w:tc>
        <w:tc>
          <w:tcPr>
            <w:tcW w:w="734" w:type="dxa"/>
            <w:vMerge w:val="continue"/>
            <w:noWrap w:val="0"/>
            <w:vAlign w:val="center"/>
          </w:tcPr>
          <w:p>
            <w:pPr>
              <w:spacing w:line="240" w:lineRule="exact"/>
              <w:rPr>
                <w:rFonts w:ascii="仿宋_GB2312" w:hAnsi="Times New Roman" w:eastAsia="仿宋_GB2312"/>
                <w:color w:val="FF0000"/>
                <w:sz w:val="18"/>
                <w:szCs w:val="18"/>
              </w:rPr>
            </w:pPr>
          </w:p>
        </w:tc>
        <w:tc>
          <w:tcPr>
            <w:tcW w:w="1082"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县级文物保护单位实施原址保护措施审批</w:t>
            </w:r>
          </w:p>
        </w:tc>
        <w:tc>
          <w:tcPr>
            <w:tcW w:w="2145"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《中华人民共和国文物保护法》（2015年修）</w:t>
            </w:r>
          </w:p>
        </w:tc>
        <w:tc>
          <w:tcPr>
            <w:tcW w:w="1366"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eastAsia" w:ascii="仿宋_GB2312" w:hAnsi="Times New Roman" w:eastAsia="仿宋_GB2312"/>
                <w:color w:val="FF0000"/>
                <w:sz w:val="18"/>
                <w:szCs w:val="18"/>
                <w:lang w:eastAsia="zh-CN"/>
              </w:rPr>
            </w:pPr>
            <w:r>
              <w:rPr>
                <w:rFonts w:hint="eastAsia" w:ascii="仿宋_GB2312" w:hAnsi="Times New Roman" w:eastAsia="仿宋_GB2312"/>
                <w:color w:val="FF0000"/>
                <w:sz w:val="18"/>
                <w:szCs w:val="18"/>
                <w:lang w:val="en-US" w:eastAsia="zh-CN"/>
              </w:rPr>
              <w:t>6</w:t>
            </w:r>
          </w:p>
        </w:tc>
        <w:tc>
          <w:tcPr>
            <w:tcW w:w="734" w:type="dxa"/>
            <w:vMerge w:val="restart"/>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县级文物保护单位和未核定为文物保护单位的不可移动文物修缮审批</w:t>
            </w:r>
          </w:p>
        </w:tc>
        <w:tc>
          <w:tcPr>
            <w:tcW w:w="2145"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《中华人民共和国文物保护法》（2015年第十二届全国人民代表大会常务委员会第十四次会议决定，第4次修正）</w:t>
            </w:r>
          </w:p>
        </w:tc>
        <w:tc>
          <w:tcPr>
            <w:tcW w:w="1366"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eastAsia" w:ascii="仿宋_GB2312" w:hAnsi="Times New Roman" w:eastAsia="仿宋_GB2312"/>
                <w:color w:val="FF0000"/>
                <w:sz w:val="18"/>
                <w:szCs w:val="18"/>
                <w:lang w:eastAsia="zh-CN"/>
              </w:rPr>
            </w:pPr>
            <w:r>
              <w:rPr>
                <w:rFonts w:hint="eastAsia" w:ascii="仿宋_GB2312" w:hAnsi="Times New Roman" w:eastAsia="仿宋_GB2312"/>
                <w:color w:val="FF0000"/>
                <w:sz w:val="18"/>
                <w:szCs w:val="18"/>
                <w:lang w:val="en-US" w:eastAsia="zh-CN"/>
              </w:rPr>
              <w:t>7</w:t>
            </w:r>
          </w:p>
        </w:tc>
        <w:tc>
          <w:tcPr>
            <w:tcW w:w="734" w:type="dxa"/>
            <w:vMerge w:val="continue"/>
            <w:noWrap w:val="0"/>
            <w:vAlign w:val="center"/>
          </w:tcPr>
          <w:p>
            <w:pPr>
              <w:spacing w:line="240" w:lineRule="exact"/>
              <w:rPr>
                <w:rFonts w:ascii="仿宋_GB2312" w:hAnsi="Times New Roman" w:eastAsia="仿宋_GB2312"/>
                <w:color w:val="FF0000"/>
                <w:sz w:val="18"/>
                <w:szCs w:val="18"/>
              </w:rPr>
            </w:pPr>
          </w:p>
        </w:tc>
        <w:tc>
          <w:tcPr>
            <w:tcW w:w="1082"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非国有文物收藏单位和其他单位举办展览需借用国有馆藏二级以下文物审批</w:t>
            </w:r>
          </w:p>
        </w:tc>
        <w:tc>
          <w:tcPr>
            <w:tcW w:w="2145"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《行政许可法》 《政府信息公开条例》 《中华人民共和国文物保护法》（主席令第84号，2013年修订）</w:t>
            </w:r>
          </w:p>
        </w:tc>
        <w:tc>
          <w:tcPr>
            <w:tcW w:w="1366"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ascii="仿宋_GB2312" w:hAnsi="Times New Roman" w:eastAsia="仿宋_GB2312"/>
                <w:color w:val="FF0000"/>
                <w:sz w:val="18"/>
                <w:szCs w:val="18"/>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8</w:t>
            </w:r>
          </w:p>
        </w:tc>
        <w:tc>
          <w:tcPr>
            <w:tcW w:w="734" w:type="dxa"/>
            <w:noWrap w:val="0"/>
            <w:vAlign w:val="center"/>
          </w:tcPr>
          <w:p>
            <w:pPr>
              <w:spacing w:line="240" w:lineRule="exact"/>
              <w:rPr>
                <w:rFonts w:hint="eastAsia" w:ascii="仿宋_GB2312" w:hAnsi="Times New Roman" w:eastAsia="仿宋_GB2312"/>
                <w:color w:val="FF0000"/>
                <w:sz w:val="18"/>
                <w:szCs w:val="18"/>
                <w:lang w:eastAsia="zh-CN"/>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拆除公共文化设施或改变其功能、用途许可</w:t>
            </w:r>
          </w:p>
        </w:tc>
        <w:tc>
          <w:tcPr>
            <w:tcW w:w="2145"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 xml:space="preserve">《行政许可法》 《政府信息公开条例》 《公共文化体育设施条例》（中华人民共和国国务院令第382号） </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9</w:t>
            </w:r>
          </w:p>
        </w:tc>
        <w:tc>
          <w:tcPr>
            <w:tcW w:w="734"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乡镇设立广播电视站和机关、部队、团体、企业、事业单位设立有线广播电视站许可</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《政府信息公开条例》《广播电视管理条例》（国务院令第228号,2013年修正） 《广播电视站审批管理暂行规定》（国家广播电影电视总局令第32号, 2004）  《天津市人民政府关于减少和调整下放行政审批事项的通知》（津政发〔2013〕7号）附件5</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10</w:t>
            </w:r>
          </w:p>
        </w:tc>
        <w:tc>
          <w:tcPr>
            <w:tcW w:w="734" w:type="dxa"/>
            <w:noWrap w:val="0"/>
            <w:vAlign w:val="center"/>
          </w:tcPr>
          <w:p>
            <w:pPr>
              <w:spacing w:line="240" w:lineRule="exact"/>
              <w:rPr>
                <w:rFonts w:hint="eastAsia" w:ascii="仿宋_GB2312" w:hAnsi="Times New Roman" w:eastAsia="仿宋_GB2312"/>
                <w:color w:val="FF0000"/>
                <w:sz w:val="18"/>
                <w:szCs w:val="18"/>
                <w:lang w:eastAsia="zh-CN"/>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拍摄文物许可及利用县级文物保护单位举办大型活动许可</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《天津市文物保护条例》（市人大公告，第102号）</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11</w:t>
            </w:r>
          </w:p>
        </w:tc>
        <w:tc>
          <w:tcPr>
            <w:tcW w:w="734"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非国有文物收藏单位和其他单位举办展览借用二级及其以下国有馆藏文物许可</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《中华人民共和国文物保护法》（主席令第84号，2013年修订）</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12</w:t>
            </w:r>
          </w:p>
        </w:tc>
        <w:tc>
          <w:tcPr>
            <w:tcW w:w="734"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sz w:val="18"/>
                <w:szCs w:val="18"/>
              </w:rPr>
            </w:pPr>
            <w:r>
              <w:rPr>
                <w:rFonts w:hint="eastAsia" w:ascii="仿宋_GB2312" w:hAnsi="Times New Roman" w:eastAsia="仿宋_GB2312"/>
                <w:color w:val="FF0000"/>
                <w:sz w:val="18"/>
                <w:szCs w:val="18"/>
              </w:rPr>
              <w:t>区县级文物保护单位保护工程方案许可</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《中华人民共和国文物保护法》(2015年修订)  《天津市文物保护条例》（2007年）</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13</w:t>
            </w:r>
          </w:p>
        </w:tc>
        <w:tc>
          <w:tcPr>
            <w:tcW w:w="734"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未核定为文物保护单位的不可移动文物迁移、拆除许可</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《中华人民共和国文物保护法》(2015年修订)  《天津市文物保护条例》（2008年）</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14</w:t>
            </w:r>
          </w:p>
        </w:tc>
        <w:tc>
          <w:tcPr>
            <w:tcW w:w="734"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广播电视专用频段频率指配使用许可证（甲类）及无线广播电视发射设备（不含小功率无线广播电视发射设备）订购证明核发</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《广播电视无线传输覆盖网管理办法》（国家广播电影电视总局令第45号，2004年） 《国务院关于修改国务院对确需保留的行政审批项目设定行政许可的决定的决定》 《广播电视管理条例》</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15</w:t>
            </w:r>
          </w:p>
        </w:tc>
        <w:tc>
          <w:tcPr>
            <w:tcW w:w="734"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设置卫星地面接收设施许可</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《卫星电视广播地面接收设施管理规定》</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16</w:t>
            </w:r>
          </w:p>
        </w:tc>
        <w:tc>
          <w:tcPr>
            <w:tcW w:w="734"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信息网络传播视听节目许可证核发</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《国务院对确需保留的行政审批项目设定行政许可的决定》（国务院令第412号，2004年）</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17</w:t>
            </w:r>
          </w:p>
        </w:tc>
        <w:tc>
          <w:tcPr>
            <w:tcW w:w="734"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迁建广播电视设施审核</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《广播电视设施保护条例》（国务院令第295号，2000年） 《广播电视无线传输覆盖网管理办法》（国家广播电影电视总局令第45号，2004年</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18</w:t>
            </w:r>
          </w:p>
        </w:tc>
        <w:tc>
          <w:tcPr>
            <w:tcW w:w="734"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kern w:val="2"/>
                <w:sz w:val="18"/>
                <w:szCs w:val="18"/>
                <w:lang w:val="en-US" w:eastAsia="zh-CN" w:bidi="ar-SA"/>
              </w:rPr>
              <w:t>广播电台、电视台（含分台、教育电视台、付费频道）设立、终止及广播电台、电视台变更台名、台标、节目设置范围或节目套数和跨地区经营审批</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《广播电视管理条例》</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19</w:t>
            </w:r>
          </w:p>
        </w:tc>
        <w:tc>
          <w:tcPr>
            <w:tcW w:w="734"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kern w:val="2"/>
                <w:sz w:val="18"/>
                <w:szCs w:val="18"/>
                <w:lang w:val="en-US" w:eastAsia="zh-CN" w:bidi="ar-SA"/>
              </w:rPr>
              <w:t>广播电视节目、电视剧制作及广播电视视频点播业务许可证（乙种）核发</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《广播电视管理条例》 《国务院对确需保留的行政审批项目设定行政许可的决定》（2004年国务院令第412号）</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20</w:t>
            </w:r>
          </w:p>
        </w:tc>
        <w:tc>
          <w:tcPr>
            <w:tcW w:w="734"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kern w:val="2"/>
                <w:sz w:val="18"/>
                <w:szCs w:val="18"/>
                <w:lang w:val="en-US" w:eastAsia="zh-CN" w:bidi="ar-SA"/>
              </w:rPr>
              <w:t>电影放映单位许可</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《电影管理条例》 《国务院关于第六批取消和调整行政审批项目的决定》</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21</w:t>
            </w:r>
          </w:p>
        </w:tc>
        <w:tc>
          <w:tcPr>
            <w:tcW w:w="734"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kern w:val="2"/>
                <w:sz w:val="18"/>
                <w:szCs w:val="18"/>
                <w:lang w:val="en-US" w:eastAsia="zh-CN" w:bidi="ar-SA"/>
              </w:rPr>
              <w:t>从事包装装潢印刷品和其他印刷品印刷经营活动的企业设立、变更许可</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《印刷业管理条例》（国务院令第676号，2017年） 《国务院关于第六批取消和调整行政审批项目的决定》（国发2012）52号</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22</w:t>
            </w:r>
          </w:p>
        </w:tc>
        <w:tc>
          <w:tcPr>
            <w:tcW w:w="734"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kern w:val="2"/>
                <w:sz w:val="18"/>
                <w:szCs w:val="18"/>
                <w:lang w:val="en-US" w:eastAsia="zh-CN" w:bidi="ar-SA"/>
              </w:rPr>
              <w:t>出版物零售单位设立、变更许可</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《出版管理条例》（国务院令第653号，2016年修订）</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spacing w:line="240" w:lineRule="exact"/>
              <w:rPr>
                <w:rFonts w:hint="default" w:ascii="仿宋_GB2312" w:hAnsi="Times New Roman" w:eastAsia="仿宋_GB2312"/>
                <w:color w:val="FF0000"/>
                <w:sz w:val="18"/>
                <w:szCs w:val="18"/>
                <w:lang w:val="en-US" w:eastAsia="zh-CN"/>
              </w:rPr>
            </w:pPr>
            <w:r>
              <w:rPr>
                <w:rFonts w:hint="eastAsia" w:ascii="仿宋_GB2312" w:hAnsi="Times New Roman" w:eastAsia="仿宋_GB2312"/>
                <w:color w:val="FF0000"/>
                <w:sz w:val="18"/>
                <w:szCs w:val="18"/>
                <w:lang w:val="en-US" w:eastAsia="zh-CN"/>
              </w:rPr>
              <w:t>23</w:t>
            </w:r>
          </w:p>
        </w:tc>
        <w:tc>
          <w:tcPr>
            <w:tcW w:w="734"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许可</w:t>
            </w:r>
          </w:p>
        </w:tc>
        <w:tc>
          <w:tcPr>
            <w:tcW w:w="108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kern w:val="2"/>
                <w:sz w:val="18"/>
                <w:szCs w:val="18"/>
                <w:lang w:val="en-US" w:eastAsia="zh-CN" w:bidi="ar-SA"/>
              </w:rPr>
              <w:t>设立旅行社许可（市级权限委托实施）</w:t>
            </w:r>
          </w:p>
        </w:tc>
        <w:tc>
          <w:tcPr>
            <w:tcW w:w="214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1.办事指南：内容同上;</w:t>
            </w:r>
            <w:r>
              <w:rPr>
                <w:rFonts w:hint="eastAsia" w:ascii="仿宋_GB2312" w:hAnsi="Times New Roman" w:eastAsia="仿宋_GB2312"/>
                <w:color w:val="FF0000"/>
                <w:sz w:val="18"/>
                <w:szCs w:val="18"/>
              </w:rPr>
              <w:br w:type="textWrapping"/>
            </w:r>
            <w:r>
              <w:rPr>
                <w:rFonts w:hint="eastAsia" w:ascii="仿宋_GB2312" w:hAnsi="Times New Roman" w:eastAsia="仿宋_GB2312"/>
                <w:color w:val="FF0000"/>
                <w:sz w:val="18"/>
                <w:szCs w:val="18"/>
              </w:rPr>
              <w:t>2.行政许可决定。</w:t>
            </w:r>
          </w:p>
        </w:tc>
        <w:tc>
          <w:tcPr>
            <w:tcW w:w="2159"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《行政许可法》 《政府信息公开条例》 《中华人民共和国旅游法》（2013年） 《旅行社条例》（国务院令第550号，2016年修改） 《旅行社条例实施细则》（国务旅游局第30号令，2016年修改）</w:t>
            </w:r>
          </w:p>
        </w:tc>
        <w:tc>
          <w:tcPr>
            <w:tcW w:w="1366"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信息形成或变更之日起20个工作日内公开</w:t>
            </w:r>
          </w:p>
        </w:tc>
        <w:tc>
          <w:tcPr>
            <w:tcW w:w="1410" w:type="dxa"/>
            <w:noWrap w:val="0"/>
            <w:vAlign w:val="center"/>
          </w:tcPr>
          <w:p>
            <w:pPr>
              <w:jc w:val="center"/>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lang w:eastAsia="zh-CN"/>
              </w:rPr>
              <w:t>区政务服务中心</w:t>
            </w:r>
          </w:p>
        </w:tc>
        <w:tc>
          <w:tcPr>
            <w:tcW w:w="1860" w:type="dxa"/>
            <w:noWrap w:val="0"/>
            <w:vAlign w:val="center"/>
          </w:tcPr>
          <w:p>
            <w:pPr>
              <w:adjustRightInd w:val="0"/>
              <w:snapToGrid w:val="0"/>
              <w:rPr>
                <w:rFonts w:hint="eastAsia" w:ascii="仿宋_GB2312" w:hAnsi="Times New Roman"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70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60"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49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735"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c>
          <w:tcPr>
            <w:tcW w:w="533"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w:t>
            </w:r>
          </w:p>
        </w:tc>
        <w:tc>
          <w:tcPr>
            <w:tcW w:w="622" w:type="dxa"/>
            <w:noWrap w:val="0"/>
            <w:vAlign w:val="center"/>
          </w:tcPr>
          <w:p>
            <w:pPr>
              <w:spacing w:line="240" w:lineRule="exact"/>
              <w:rPr>
                <w:rFonts w:hint="eastAsia" w:ascii="仿宋_GB2312" w:hAnsi="Times New Roman" w:eastAsia="仿宋_GB2312"/>
                <w:color w:val="FF0000"/>
                <w:kern w:val="2"/>
                <w:sz w:val="18"/>
                <w:szCs w:val="18"/>
                <w:lang w:val="en-US" w:eastAsia="zh-CN" w:bidi="ar-SA"/>
              </w:rPr>
            </w:pPr>
            <w:r>
              <w:rPr>
                <w:rFonts w:hint="eastAsia" w:ascii="仿宋_GB2312" w:hAnsi="Times New Roman" w:eastAsia="仿宋_GB2312"/>
                <w:color w:val="FF0000"/>
                <w:sz w:val="18"/>
                <w:szCs w:val="18"/>
              </w:rPr>
              <w:t>　</w:t>
            </w:r>
          </w:p>
        </w:tc>
      </w:tr>
    </w:tbl>
    <w:p>
      <w:pPr>
        <w:rPr>
          <w:color w:val="FF0000"/>
        </w:rPr>
      </w:pPr>
    </w:p>
    <w:bookmarkEnd w:id="0"/>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BD22D0"/>
    <w:rsid w:val="273078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Administrator</cp:lastModifiedBy>
  <dcterms:modified xsi:type="dcterms:W3CDTF">2020-09-02T08:02:30Z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