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B71E2">
      <w:pPr>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p>
    <w:p w14:paraId="12EBC0E8">
      <w:pPr>
        <w:spacing w:line="560" w:lineRule="exact"/>
        <w:jc w:val="center"/>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天津市宝坻区中医医院</w:t>
      </w:r>
    </w:p>
    <w:p w14:paraId="25AEA52D">
      <w:pPr>
        <w:spacing w:line="560" w:lineRule="exact"/>
        <w:ind w:firstLine="420" w:firstLineChars="200"/>
        <w:rPr>
          <w:rFonts w:hint="eastAsia" w:ascii="微软雅黑" w:hAnsi="微软雅黑" w:eastAsia="微软雅黑" w:cs="微软雅黑"/>
          <w:bCs/>
          <w:color w:val="002060"/>
          <w:sz w:val="21"/>
          <w:szCs w:val="21"/>
        </w:rPr>
      </w:pPr>
    </w:p>
    <w:p w14:paraId="0AEE979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科室设置：公共卫生科/治未病科/内科；呼吸内科专业；消化内科专业；神经内科专业；心血管内科专业；血液内科专业；肾病学专业；内分泌专业/外科；普通外科专业；神经外科专业；骨科专业；泌尿外科专业/妇产科；妇科专业；计划生育专业(IUD置取术、负压吸宫术、药物流产、中期引产术、女性绝育术、无痛人流术)/儿科；新生儿专业/眼科/耳鼻咽喉科；耳科专业；鼻科专业；咽喉科专业/口腔科；口腔颌面外科专业；口腔正畸专业/皮肤科；皮肤病专业/医疗美容科/精神科；精神病专业/肿瘤科/急诊医学科/康复医学科/麻醉科/疼痛科/医学检验科；临床体液、血液专业；临床微生物学专业；临床化学检验专业；临床免疫、血清学专业；临床细胞分子遗传学专业/病理科/医学影像科；X线诊断专业；CT诊断专业；磁共振成像诊断专业；超声诊断专业；心电诊断专业；脑电及脑血流图诊断专业/中医科；内科专业；外科专业；妇产科专业；儿科专业；皮肤科专业；眼科专业；耳鼻咽喉科专业；口腔科专业；肿瘤科专业；骨伤科专业；肛肠科专业；老年病科专业；针灸科专业；推拿科专业；康复医学专业；急诊科专业。</w:t>
      </w:r>
    </w:p>
    <w:p w14:paraId="646F9A2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二、公共服务职能：开展医疗、诊疗与护理</w:t>
      </w:r>
    </w:p>
    <w:p w14:paraId="079A99C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三、专业介绍：</w:t>
      </w:r>
    </w:p>
    <w:p w14:paraId="042C941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（一）专业方向及服务名称</w:t>
      </w:r>
    </w:p>
    <w:p w14:paraId="31B99DE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呼吸内科专业；消化内科专业；神经内科专业；心血管内科专业；血液内科专业；肾病学专业；内分泌专业/外科；普通外科专业；神经外科专业；骨科专业；泌尿外科专业/妇产科；妇科专业；计划生育专业(IUD置取术、负压吸宫术、药物流产、中期引产术、女性绝育术、无痛人流术)/儿科；新生儿专业/眼科/耳鼻咽喉科；耳科专业；鼻科专业；咽喉科专业/口腔科；口腔颌面外科专业；口腔正畸专业/皮肤科；皮肤病专业/医疗美容科/精神科；精神病专业/肿瘤科/急诊医学科/康复医学科/麻醉科/疼痛科/医学检验科；临床体液、血液专业；临床微生物学专业；临床化学检验专业；临床免疫、血清学专业；临床细胞分子遗传学专业/病理科/医学影像科；X线诊断专业；CT诊断专业；磁共振成像诊断专业；超声诊断专业；心电诊断专业；脑电及脑血流图诊断专业/中医科；内科专业；外科专业；妇产科专业；儿科专业；皮肤科专业；眼科专业；耳鼻咽喉科专业；口腔科专业；肿瘤科专业；骨伤科专业；肛肠科专业；老年病科专业；针灸科专业；推拿科专业；康复医学专业；急诊科专业。</w:t>
      </w:r>
    </w:p>
    <w:p w14:paraId="386A12D3">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（二）特色服务</w:t>
      </w:r>
    </w:p>
    <w:p w14:paraId="61A2683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血液净化中心，微创中心、特需专家门诊、夜诊（推拿门诊、口腔门诊）、老年病门诊、儿童肥胖门诊、中医特色门诊（减重门诊）、扶阳门诊、名医堂中医门诊、代煎饮片免费送药到家服务、养生膏方、养生茶等。</w:t>
      </w:r>
    </w:p>
    <w:p w14:paraId="3806AE0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四、就诊须知：</w:t>
      </w:r>
    </w:p>
    <w:p w14:paraId="5C440D4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（一）门诊诊疗时间：普通、专家门诊：上午 8: 00—11: 30 下午（冬季）13:30--17:00（夏季）14: 00—18: 00 （含节假日 ）</w:t>
      </w:r>
    </w:p>
    <w:p w14:paraId="451643F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急诊科： 24 小时（含节假日）</w:t>
      </w:r>
    </w:p>
    <w:p w14:paraId="4C7D9F7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（二）门诊挂号：</w:t>
      </w:r>
    </w:p>
    <w:p w14:paraId="458F173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1.挂号时间：</w:t>
      </w:r>
    </w:p>
    <w:p w14:paraId="45EDCF4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自助机：8:00—11:30，13:30—17:30</w:t>
      </w:r>
    </w:p>
    <w:p w14:paraId="141D9B7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津医保：8:00—11:30，13:30—17:30</w:t>
      </w:r>
    </w:p>
    <w:p w14:paraId="460A369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人工窗口：0:00—23:59</w:t>
      </w:r>
    </w:p>
    <w:p w14:paraId="04231CF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2.挂号费：</w:t>
      </w:r>
    </w:p>
    <w:p w14:paraId="30DD10E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普通号：10元，普通号（中医）：12元，正主任号：30元，正主任号（中医）：32元，糖尿病患者门特挂号费用增加10元</w:t>
      </w:r>
    </w:p>
    <w:p w14:paraId="4C08149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3.挂号条当日有效，过期作废</w:t>
      </w:r>
    </w:p>
    <w:p w14:paraId="3C09AF0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4.如果您是首诊患者，建议先至导诊台鉴诊再挂号</w:t>
      </w:r>
    </w:p>
    <w:p w14:paraId="0F6E794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（三）挂号须知</w:t>
      </w:r>
    </w:p>
    <w:p w14:paraId="2363247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 我院实行实名制就诊，为保障您的合法权益，请不要使用他人的医保卡及身份信息就诊，以免给您造成不必要的麻烦。</w:t>
      </w:r>
    </w:p>
    <w:p w14:paraId="2853EC9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 持有身份证或社会保障卡、医保电子凭证的病友可直接凭卡挂号、缴费及打印检查报告。</w:t>
      </w:r>
    </w:p>
    <w:p w14:paraId="17EBDD1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 需要打印发票或清单的病友，就诊结束后可以在门诊大厅收费处人工窗口打印发票。</w:t>
      </w:r>
    </w:p>
    <w:p w14:paraId="748DE5A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4、健康体检的人员请持有本人身份证，持身份证可直接在五楼自助挂号机缴费。</w:t>
      </w:r>
    </w:p>
    <w:p w14:paraId="06DD8AA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5、现场挂号地点：门诊大厅收费处及各楼层自助机。</w:t>
      </w:r>
    </w:p>
    <w:p w14:paraId="270F937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6、电脑挂号单请妥善保存；挂号就诊当次有效、当日可免费复诊看结果，次日请重新挂号就诊。</w:t>
      </w:r>
    </w:p>
    <w:p w14:paraId="241E773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7、我院门诊实行专科门诊分级挂号，请根据病情需要选择合适的专科、级别与医生就诊，不清楚或有疑问时可随时咨询导医台工作人员。</w:t>
      </w:r>
    </w:p>
    <w:p w14:paraId="35DCE74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color w:val="002060"/>
          <w:sz w:val="21"/>
          <w:szCs w:val="21"/>
          <w:lang w:val="en-US" w:eastAsia="zh-CN"/>
        </w:rPr>
        <w:t>8、意外伤害首诊、复诊都需要在人工窗口挂号，不能使用自助挂号机，联网后缴费可以使用自助挂号机。</w:t>
      </w:r>
    </w:p>
    <w:p w14:paraId="4732AAB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（四）候诊与就诊须知</w:t>
      </w:r>
    </w:p>
    <w:p w14:paraId="02CB90A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 通过任一途径挂号或预约挂号已付费的患者均可直接至相应诊区候诊。</w:t>
      </w:r>
    </w:p>
    <w:p w14:paraId="403054B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 请按挂号单或手机信息至少提前半小时到诊区候诊， 挂号成功但未就诊需退号的患者请在人工窗口完成退号。</w:t>
      </w:r>
    </w:p>
    <w:p w14:paraId="11E96E8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 各专科候诊区患者按就诊序号依次就诊。请还未到号的患者不要提前进入诊室，以免影响就诊秩序。</w:t>
      </w:r>
    </w:p>
    <w:p w14:paraId="758B782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 就诊时必须持门诊病历及携带您的以往病历资料（包括以往的检查资料），如实反馈您的病情，配合医生体格检查。</w:t>
      </w:r>
    </w:p>
    <w:p w14:paraId="58F3FD0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5、医生开具医嘱后，可在各楼层自助机完成支付，也可至挂号缴费窗口完成支付。</w:t>
      </w:r>
    </w:p>
    <w:p w14:paraId="04EB411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6、支付完成后去相应科室完成检查或取药治疗。</w:t>
      </w:r>
    </w:p>
    <w:p w14:paraId="6F6E53E3">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7、取药后请及时核对药品处方清单，药品数量及剂量，如您对药物使用有任何疑问请及时咨询药房或您的就诊医生。</w:t>
      </w:r>
    </w:p>
    <w:p w14:paraId="1FAB1FD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8、患者可凭挂号条在一周内到自助机上打印检验报告。</w:t>
      </w:r>
    </w:p>
    <w:p w14:paraId="4FD99B1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9、 就诊结束后请妥善保管您的病历资料，以便下次就诊时提供依据。</w:t>
      </w:r>
    </w:p>
    <w:p w14:paraId="5BEF121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（五）门诊退费退号：</w:t>
      </w:r>
    </w:p>
    <w:p w14:paraId="683AD45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1.退换号：请于当天将挂号收据由医生签字及患者本人签字后，至人工窗口进行退号。</w:t>
      </w:r>
    </w:p>
    <w:p w14:paraId="4BDC216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退费：①当日退费请由开单医生、产生费用的其他科室（如药房、检验科、彩超室等）签字后，患者本人签字后，至人工窗口办理退费手续。②次日后退费请由开单医生、产生费用的其他科室（如药房、检验科、彩超室等）签字及患者本人签字后，并财务科长和门诊办主任审核后至人工窗口办理退费手续。</w:t>
      </w:r>
    </w:p>
    <w:p w14:paraId="308CA7A3">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（六）门诊病历打印：各诊室及一楼导诊人员打印。</w:t>
      </w:r>
    </w:p>
    <w:p w14:paraId="7D7F196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（七）诊断证明书及休假证明书盖章：</w:t>
      </w:r>
    </w:p>
    <w:p w14:paraId="6A1AD88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1、诊断证明书及休假证明书（需提供病历）至导诊台处盖章（正常班时间）</w:t>
      </w:r>
    </w:p>
    <w:p w14:paraId="489CEFC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2、门急诊休假证明时间应根据基本性质决定，急诊开具病休假时间一般不超过3天；门诊不超过7天；慢性病不超过2周，特殊情况不超过一个月；请持病历本及医生所开诊断证明到门诊办审核盖章。</w:t>
      </w:r>
    </w:p>
    <w:p w14:paraId="4C0F895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3、需做伤残鉴定者，请持单位证明到司法鉴定中心办理相关手续。</w:t>
      </w:r>
    </w:p>
    <w:p w14:paraId="5A1976D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（八）检验报告单打印：一楼自助机位于大厅，二楼自助机位于国医堂及内科专家门诊区，三、四楼自助机位于电梯对面候诊区，将检验码对准扫描口，自助打印。</w:t>
      </w:r>
    </w:p>
    <w:p w14:paraId="2C34CFA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（九）门诊预约：</w:t>
      </w:r>
    </w:p>
    <w:p w14:paraId="0BC4A19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1.预约方式：津医保APP预约、电话预约（82650749）、诊间预约</w:t>
      </w:r>
    </w:p>
    <w:p w14:paraId="2B89BA1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2.预约时间：7天内（每周六至下周五）</w:t>
      </w:r>
    </w:p>
    <w:p w14:paraId="04147C4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3.缴费时间：就诊当天缴费。</w:t>
      </w:r>
    </w:p>
    <w:p w14:paraId="4E8C0D60">
      <w:pPr>
        <w:spacing w:line="560" w:lineRule="exact"/>
        <w:ind w:firstLine="210" w:firstLineChars="1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（十）办理麻醉卡须知</w:t>
      </w:r>
    </w:p>
    <w:p w14:paraId="3B5B0D0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麻醉卡办理一般只用于晚期肿瘤患者，需要提交的材料有：</w:t>
      </w:r>
    </w:p>
    <w:p w14:paraId="3C6EAF6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 xml:space="preserve">①患者本人的户口本、身份证原件及复印件； </w:t>
      </w:r>
    </w:p>
    <w:p w14:paraId="750EFB9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 xml:space="preserve">②代办人身份证原件及复印件； </w:t>
      </w:r>
    </w:p>
    <w:p w14:paraId="74DBBEB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 xml:space="preserve">③相关确诊检查报告单复印件； </w:t>
      </w:r>
    </w:p>
    <w:p w14:paraId="3C16758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 xml:space="preserve">④疼痛诊断证明书； </w:t>
      </w:r>
    </w:p>
    <w:p w14:paraId="6761328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⑤异地患者需提供现居住地派出所开具的居住证明。</w:t>
      </w:r>
    </w:p>
    <w:p w14:paraId="4076A42C">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五、住院须知：</w:t>
      </w:r>
    </w:p>
    <w:p w14:paraId="2E0E383B">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（一）办理住院流程：</w:t>
      </w:r>
    </w:p>
    <w:p w14:paraId="410C1946">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 患者来院就诊，提交身份证及各种医疗保险证件</w:t>
      </w:r>
      <w:r>
        <w:rPr>
          <w:rFonts w:hint="eastAsia" w:ascii="微软雅黑" w:hAnsi="微软雅黑" w:eastAsia="微软雅黑" w:cs="微软雅黑"/>
          <w:bCs/>
          <w:color w:val="002060"/>
          <w:sz w:val="21"/>
          <w:szCs w:val="21"/>
          <w:lang w:eastAsia="zh-CN"/>
        </w:rPr>
        <w:t>，</w:t>
      </w:r>
      <w:r>
        <w:rPr>
          <w:rFonts w:hint="eastAsia" w:ascii="微软雅黑" w:hAnsi="微软雅黑" w:eastAsia="微软雅黑" w:cs="微软雅黑"/>
          <w:bCs/>
          <w:color w:val="002060"/>
          <w:sz w:val="21"/>
          <w:szCs w:val="21"/>
        </w:rPr>
        <w:t>挂号</w:t>
      </w:r>
    </w:p>
    <w:p w14:paraId="5E159BF0">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 门诊医师诊断病情并记录在门诊病历上，</w:t>
      </w:r>
      <w:r>
        <w:rPr>
          <w:rFonts w:hint="eastAsia" w:ascii="微软雅黑" w:hAnsi="微软雅黑" w:eastAsia="微软雅黑" w:cs="微软雅黑"/>
          <w:bCs/>
          <w:color w:val="002060"/>
          <w:sz w:val="21"/>
          <w:szCs w:val="21"/>
          <w:lang w:val="en-US" w:eastAsia="zh-CN"/>
        </w:rPr>
        <w:t>须住院患者，出诊医师开具电子住院证</w:t>
      </w:r>
      <w:r>
        <w:rPr>
          <w:rFonts w:hint="eastAsia" w:ascii="微软雅黑" w:hAnsi="微软雅黑" w:eastAsia="微软雅黑" w:cs="微软雅黑"/>
          <w:bCs/>
          <w:color w:val="002060"/>
          <w:sz w:val="21"/>
          <w:szCs w:val="21"/>
        </w:rPr>
        <w:t>；</w:t>
      </w:r>
    </w:p>
    <w:p w14:paraId="2C371DF4">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 患者携带</w:t>
      </w:r>
      <w:r>
        <w:rPr>
          <w:rFonts w:hint="eastAsia" w:ascii="微软雅黑" w:hAnsi="微软雅黑" w:eastAsia="微软雅黑" w:cs="微软雅黑"/>
          <w:bCs/>
          <w:color w:val="002060"/>
          <w:sz w:val="21"/>
          <w:szCs w:val="21"/>
          <w:lang w:val="en-US" w:eastAsia="zh-CN"/>
        </w:rPr>
        <w:t>挂号条到收费处办理</w:t>
      </w:r>
      <w:r>
        <w:rPr>
          <w:rFonts w:hint="eastAsia" w:ascii="微软雅黑" w:hAnsi="微软雅黑" w:eastAsia="微软雅黑" w:cs="微软雅黑"/>
          <w:bCs/>
          <w:color w:val="002060"/>
          <w:sz w:val="21"/>
          <w:szCs w:val="21"/>
        </w:rPr>
        <w:t>住院手续；</w:t>
      </w:r>
    </w:p>
    <w:p w14:paraId="555014B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rPr>
        <w:t>4. 患者交住院押金，</w:t>
      </w:r>
      <w:r>
        <w:rPr>
          <w:rFonts w:hint="eastAsia" w:ascii="微软雅黑" w:hAnsi="微软雅黑" w:eastAsia="微软雅黑" w:cs="微软雅黑"/>
          <w:bCs/>
          <w:color w:val="002060"/>
          <w:sz w:val="21"/>
          <w:szCs w:val="21"/>
          <w:highlight w:val="none"/>
          <w:lang w:val="en-US" w:eastAsia="zh-CN"/>
        </w:rPr>
        <w:t>收费处打印</w:t>
      </w:r>
      <w:r>
        <w:rPr>
          <w:rFonts w:hint="eastAsia" w:ascii="微软雅黑" w:hAnsi="微软雅黑" w:eastAsia="微软雅黑" w:cs="微软雅黑"/>
          <w:bCs/>
          <w:color w:val="002060"/>
          <w:sz w:val="21"/>
          <w:szCs w:val="21"/>
          <w:highlight w:val="none"/>
        </w:rPr>
        <w:t>预交金收据</w:t>
      </w:r>
      <w:r>
        <w:rPr>
          <w:rFonts w:hint="eastAsia" w:ascii="微软雅黑" w:hAnsi="微软雅黑" w:eastAsia="微软雅黑" w:cs="微软雅黑"/>
          <w:bCs/>
          <w:color w:val="002060"/>
          <w:sz w:val="21"/>
          <w:szCs w:val="21"/>
          <w:highlight w:val="none"/>
          <w:lang w:eastAsia="zh-CN"/>
        </w:rPr>
        <w:t>，</w:t>
      </w:r>
      <w:r>
        <w:rPr>
          <w:rFonts w:hint="eastAsia" w:ascii="微软雅黑" w:hAnsi="微软雅黑" w:eastAsia="微软雅黑" w:cs="微软雅黑"/>
          <w:bCs/>
          <w:color w:val="002060"/>
          <w:sz w:val="21"/>
          <w:szCs w:val="21"/>
          <w:highlight w:val="none"/>
          <w:lang w:val="en-US" w:eastAsia="zh-CN"/>
        </w:rPr>
        <w:t>收费处及患者各执一联</w:t>
      </w:r>
    </w:p>
    <w:p w14:paraId="21074DCB">
      <w:pPr>
        <w:spacing w:line="560" w:lineRule="exact"/>
        <w:ind w:firstLine="420" w:firstLineChars="200"/>
        <w:rPr>
          <w:rFonts w:hint="default"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 患者住院押金收据联办理出院时收费处收回，须保存完整。</w:t>
      </w:r>
    </w:p>
    <w:p w14:paraId="4CF8CE77">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（二）注意事项：</w:t>
      </w:r>
    </w:p>
    <w:p w14:paraId="18342C22">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1.患者携带医保卡、身份证到住院处办理入院手续；核对姓名、性别、出生年月日、年龄、时间，上述信息办理入院后即不能改变，</w:t>
      </w:r>
      <w:r>
        <w:rPr>
          <w:rFonts w:hint="eastAsia" w:ascii="微软雅黑" w:hAnsi="微软雅黑" w:eastAsia="微软雅黑" w:cs="微软雅黑"/>
          <w:bCs/>
          <w:color w:val="002060"/>
          <w:sz w:val="21"/>
          <w:szCs w:val="21"/>
          <w:lang w:val="en-US" w:eastAsia="zh-CN"/>
        </w:rPr>
        <w:t>如</w:t>
      </w:r>
      <w:r>
        <w:rPr>
          <w:rFonts w:hint="eastAsia" w:ascii="微软雅黑" w:hAnsi="微软雅黑" w:eastAsia="微软雅黑" w:cs="微软雅黑"/>
          <w:bCs/>
          <w:color w:val="002060"/>
          <w:sz w:val="21"/>
          <w:szCs w:val="21"/>
        </w:rPr>
        <w:t>姓名、年龄确需更正</w:t>
      </w:r>
      <w:r>
        <w:rPr>
          <w:rFonts w:hint="eastAsia" w:ascii="微软雅黑" w:hAnsi="微软雅黑" w:eastAsia="微软雅黑" w:cs="微软雅黑"/>
          <w:bCs/>
          <w:color w:val="002060"/>
          <w:sz w:val="21"/>
          <w:szCs w:val="21"/>
          <w:lang w:eastAsia="zh-CN"/>
        </w:rPr>
        <w:t>，</w:t>
      </w:r>
      <w:r>
        <w:rPr>
          <w:rFonts w:hint="eastAsia" w:ascii="微软雅黑" w:hAnsi="微软雅黑" w:eastAsia="微软雅黑" w:cs="微软雅黑"/>
          <w:bCs/>
          <w:color w:val="002060"/>
          <w:sz w:val="21"/>
          <w:szCs w:val="21"/>
          <w:lang w:val="en-US" w:eastAsia="zh-CN"/>
        </w:rPr>
        <w:t>须</w:t>
      </w:r>
      <w:r>
        <w:rPr>
          <w:rFonts w:hint="eastAsia" w:ascii="微软雅黑" w:hAnsi="微软雅黑" w:eastAsia="微软雅黑" w:cs="微软雅黑"/>
          <w:bCs/>
          <w:color w:val="002060"/>
          <w:sz w:val="21"/>
          <w:szCs w:val="21"/>
        </w:rPr>
        <w:t>持有效证件自行到医务科填写申请、出具证明；</w:t>
      </w:r>
    </w:p>
    <w:p w14:paraId="5144E25D">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2.为配合诊疗及回访工作的需要，请您留下详细的家庭住址、联系人姓名、关系及电话，对患者的所有资料信息我们将会履行医疗保密义务；</w:t>
      </w:r>
    </w:p>
    <w:p w14:paraId="566D0463">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3.住院处将患者的信息准确输入电脑，及时准确告知医保类别及特殊要求，严禁冒名顶替、借用医保卡骗保的行为。</w:t>
      </w:r>
    </w:p>
    <w:p w14:paraId="6FC41D8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六、预约诊疗：</w:t>
      </w:r>
    </w:p>
    <w:p w14:paraId="18944AD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1.预约方式：津医保APP预约、电话预约、诊间预约</w:t>
      </w:r>
    </w:p>
    <w:p w14:paraId="32E5370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2.预约时间：7天内（每周六至下周五）</w:t>
      </w:r>
    </w:p>
    <w:p w14:paraId="483BFC9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3.缴费时间：就诊当天缴费。</w:t>
      </w:r>
    </w:p>
    <w:p w14:paraId="509D1C6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七、检验检查：</w:t>
      </w:r>
    </w:p>
    <w:p w14:paraId="71EDC7C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（一）临床检验</w:t>
      </w:r>
    </w:p>
    <w:p w14:paraId="1594BE6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1.流程：患者就诊→医生开具医嘱→缴费→检验项目确认→标本采集→标本检测→报告出具。</w:t>
      </w:r>
    </w:p>
    <w:p w14:paraId="52C7A19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2.须知、注意事项：</w:t>
      </w:r>
    </w:p>
    <w:p w14:paraId="43FB207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无节假日，所有检测项目全天开展。</w:t>
      </w:r>
    </w:p>
    <w:p w14:paraId="4530D9D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3.报告获取时间及方式：</w:t>
      </w:r>
    </w:p>
    <w:p w14:paraId="193ABF6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报告获取时间：不同检测项目报告时间不同</w:t>
      </w:r>
    </w:p>
    <w:p w14:paraId="588BADD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方式：自助报告机、检验科窗口均可。</w:t>
      </w:r>
    </w:p>
    <w:p w14:paraId="5779BC1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（二）超声</w:t>
      </w:r>
    </w:p>
    <w:p w14:paraId="7E3B4C5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1.流程：</w:t>
      </w:r>
    </w:p>
    <w:p w14:paraId="3609E29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（1）一般门诊超声检查流程</w:t>
      </w:r>
    </w:p>
    <w:p w14:paraId="1A873FE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由临床医生根据患者病情开具相应的彩超检查申请单→患者缴费，持申请单及缴费票据来超声科排队→排队到号后，进入相应诊室检查</w:t>
      </w:r>
    </w:p>
    <w:p w14:paraId="34ECDB33">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（2）住院患者超声检查流程</w:t>
      </w:r>
    </w:p>
    <w:p w14:paraId="14927B0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由临床医生根据患者病情开具相应的彩超检查医嘱→病房打印超声检查申请单→陪检人员持检查申请单带病人到超声室检查</w:t>
      </w:r>
    </w:p>
    <w:p w14:paraId="398F940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（4）超声检查注意事项：</w:t>
      </w:r>
    </w:p>
    <w:p w14:paraId="08707BE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肝胆胰脾及门静脉、腹主动脉、肾上腺超声检查前需空腹，如同时有胃肠镜及呼气试验检查的病人，需先行空腹超声检查，以免气体影响，或胃镜后24小时，肠镜后48—72小时后查空腹超声。</w:t>
      </w:r>
    </w:p>
    <w:p w14:paraId="19C6151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泌尿系超声需适量充盈膀胱。</w:t>
      </w:r>
    </w:p>
    <w:p w14:paraId="19990A4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经腹部的妇科超声检查需充盈膀胱。</w:t>
      </w:r>
    </w:p>
    <w:p w14:paraId="1E7FA7B5">
      <w:pPr>
        <w:spacing w:line="560" w:lineRule="exact"/>
        <w:ind w:firstLine="420" w:firstLineChars="200"/>
        <w:rPr>
          <w:rFonts w:hint="default"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阴超患者检查前需要与患者充分沟通。</w:t>
      </w:r>
    </w:p>
    <w:p w14:paraId="09B8ADA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报告获取：</w:t>
      </w:r>
    </w:p>
    <w:p w14:paraId="70D127D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门诊超声检查结束后10分钟内（特殊情况———复杂病例、需会诊病例一般不超过30分钟），由检查医生打印报告后交给病人。</w:t>
      </w:r>
    </w:p>
    <w:p w14:paraId="79A07F5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住院患者检查结束后30分钟内出具报告由检查医生打印报告后交给陪检人员统一取走送至相应病房。</w:t>
      </w:r>
    </w:p>
    <w:p w14:paraId="60DADE6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（三）影像</w:t>
      </w:r>
    </w:p>
    <w:p w14:paraId="5F7D813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 流程及报告获取时间、方式</w:t>
      </w:r>
    </w:p>
    <w:p w14:paraId="4E350D93">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平片检查</w:t>
      </w:r>
    </w:p>
    <w:p w14:paraId="2AC4C31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临床医生申请→收费窗口缴费/扫码缴费（住院患者计费）→相应检查室检查→检查结束后：门急诊30—60分钟在登记室领取胶片和报告。</w:t>
      </w:r>
    </w:p>
    <w:p w14:paraId="47A26CE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CT检查</w:t>
      </w:r>
    </w:p>
    <w:p w14:paraId="74FA65D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临床医生申请→收费窗口缴费/扫码缴费（住院患者计费）→相应检查室检查→检查结束后：急诊30分钟内在登记室领取胶片和报告，平诊24小时内在登记室领取胶片和报告。</w:t>
      </w:r>
    </w:p>
    <w:p w14:paraId="155E0E1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磁共振检查</w:t>
      </w:r>
    </w:p>
    <w:p w14:paraId="09C4F09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临床医生申请→收费窗口缴费/扫码缴费（住院患者计费）→相应检查室检查→检查结束后：急诊30分钟内在登记室领取胶片和报告，平诊24小时内在登记室领取胶片和报告。</w:t>
      </w:r>
    </w:p>
    <w:p w14:paraId="66C0A9F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2.影像学检查前须知及注意事项</w:t>
      </w:r>
    </w:p>
    <w:p w14:paraId="10988FA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做X线检查(拍片子)需要注意以下几点：</w:t>
      </w:r>
    </w:p>
    <w:p w14:paraId="3D7121A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检查前，需去掉检查部位携带的饰品或金属物品，如耳环、项链、手镯、钥匙、膏药、胶布、金属皮带等，应避免穿着带有金属丝线或者其它装饰品的衣物，避免给医生的诊断带来干扰，甚至造成误诊或漏诊；</w:t>
      </w:r>
    </w:p>
    <w:p w14:paraId="1C5457F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（2）检查中，请按照工作人员的要求保持相应的体位，曝光期间保持体位静止，以保证胶片质量；对于不合作的幼儿和年老体弱的患者，需患者家属积极配合放射工作人员；</w:t>
      </w:r>
    </w:p>
    <w:p w14:paraId="1C535E3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（3）设备处于工作状态时，门口照射信号灯亮起，此时不能开启检查门，也不能进入检查室，在候诊区的所有候诊者一律在防护门外等候，尽量避免在辐射区内停留；</w:t>
      </w:r>
    </w:p>
    <w:p w14:paraId="3086818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（4）请怀孕者务必在检查前告知放射科医务人员，怀孕早期(1—3月)尽量避免腹部X线检查。为明确诊断而必须做放射检查的孕妇，应当权衡利弊，需受检者签字认可后才能接受放射检查；</w:t>
      </w:r>
    </w:p>
    <w:p w14:paraId="04C69CA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（5）您的影像检查资料需妥善保管，以便下次复查时对比分析；复查的患者请携带相关的病历及影像检查资料，供医生综合分析、对照。</w:t>
      </w:r>
    </w:p>
    <w:p w14:paraId="3955942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CT平扫和增强扫描注意事项：</w:t>
      </w:r>
    </w:p>
    <w:p w14:paraId="57DA0DD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（1）去除检查部位金属衣物及金属饰品，防止造成金属伪影，影响诊断；</w:t>
      </w:r>
    </w:p>
    <w:p w14:paraId="07C5500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（2）腹部检查，根据临床医师指导能喝水的必须喝水，盆腔检查能憋尿要憋尿；做检查过程中，切记一定不能动，根据指令配合吸气、呼气和憋气；</w:t>
      </w:r>
    </w:p>
    <w:p w14:paraId="010F209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（3）腹部扫描前一周不吃含金属的药物，不做胃肠造影，影响CT的图像质量，从而导致误诊及漏诊。在等待检查时，若因饥饿出现头晕、出冷汗等低血糖症状，可以饮糖水；</w:t>
      </w:r>
    </w:p>
    <w:p w14:paraId="21D34AE8">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（4）怀孕期间及备孕前不能做检查，如必须要做，需要签字确认。</w:t>
      </w:r>
    </w:p>
    <w:p w14:paraId="479B12E8">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磁共振检查注意事项：</w:t>
      </w:r>
    </w:p>
    <w:p w14:paraId="6612064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一、禁忌症：</w:t>
      </w:r>
    </w:p>
    <w:p w14:paraId="3182E10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急性疾病发作期：如高热、昏迷、癫痫、易发心脏骤停、幽闭恐惧症等病人，因上述病人容易受外界刺激或难以配合医生进行检查，对此类疾病发作期患者，不能做磁共振检查，以免诱发疾病加重和影响磁共振诊断，需待情况稳定后，再考虑做检查；</w:t>
      </w:r>
    </w:p>
    <w:p w14:paraId="4A1379B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携带金属物品：如果体内存在金属异物，如心脏起搏器、假牙、避孕环等金属植入物，或者配戴项链、戒指等金属手饰等，此时需禁止做此检查，以免导致结果出现伪影，影响检查结果，或对局部皮肤刺激，出现烧伤。</w:t>
      </w:r>
    </w:p>
    <w:p w14:paraId="4F8A42C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二、注意事项：</w:t>
      </w:r>
    </w:p>
    <w:p w14:paraId="5AF51E5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1、综合评估：患者检查前需要如实填写磁共振检查病人安全调查表。检查前需注意检查是否彻底去除金属物品，并在医生检查时，予以说明自身情况，不可隐瞒病史，积极配合检查；</w:t>
      </w:r>
    </w:p>
    <w:p w14:paraId="244F560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特殊人群准备：对于重症患者，检查期间需要做好生命支持，对于体征不平稳的患者，需备好相关抢救药品，对于孕妇和婴儿应征得医生同意再行扫描。在检查时，需避免双手交叉，或与身体其他部位接触，以减少外周神经刺激症状的出现。</w:t>
      </w:r>
    </w:p>
    <w:p w14:paraId="4A13967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3、磁共振设备周围具有强大磁场，严禁病人和陪伴家属将所有铁磁性的物品及电子产品靠近、带入检查室。</w:t>
      </w:r>
    </w:p>
    <w:p w14:paraId="307B7E8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4、磁共振检查为一项常规检查，属无损性检查，对人体无辐射伤害。建议放轻松，不用过于紧张焦虑，遵医嘱佩戴耳塞，以防止听力损伤。</w:t>
      </w:r>
    </w:p>
    <w:p w14:paraId="311EE3C5">
      <w:pPr>
        <w:spacing w:line="560" w:lineRule="exact"/>
        <w:ind w:firstLine="420" w:firstLineChars="200"/>
        <w:rPr>
          <w:rFonts w:hint="default"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5、磁共振增强检查注意事项：</w:t>
      </w:r>
    </w:p>
    <w:p w14:paraId="0AB63CA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（1）金属物品移除：由于MRI机器具有强大的磁场，患者不得携带任何铁磁性物品进入检查室，包括手机、手表、金属饰品、硬币、钥匙等。</w:t>
      </w:r>
    </w:p>
    <w:p w14:paraId="3EB59D5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（2）电子植入物的告知：如果体内有心脏起搏器、人工心脏瓣膜、血管夹、神经刺激器、某些类型的耳蜗植入物等，应事先告知医生，因为磁场可能会干扰这些设备的功能。</w:t>
      </w:r>
    </w:p>
    <w:p w14:paraId="3D278E1B">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（3）过敏史告知：有对比剂过敏史或过敏体质的患者应提前告知医生。</w:t>
      </w:r>
    </w:p>
    <w:p w14:paraId="7A6C7659">
      <w:pPr>
        <w:spacing w:line="560" w:lineRule="exact"/>
        <w:ind w:firstLine="420" w:firstLineChars="200"/>
        <w:rPr>
          <w:rFonts w:hint="default"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（4）肾功能考量：重度肾功能不全的患者（GFR&lt;30ml/min/1.73m）不宜注射含钆对比剂，因为这可能与肾源性系统性纤维化的发生相关。避免短时间内多次进行钆对比剂增强检查。</w:t>
      </w:r>
    </w:p>
    <w:p w14:paraId="4AA0B7E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（5）禁食要求：腹部增强检查前4-6小时禁食，其他部位增强检查前2小时禁食。</w:t>
      </w:r>
    </w:p>
    <w:p w14:paraId="6D7B25F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（6）观察与反应监测：增强扫描后，患者应在医院观察30分钟，以监测是否有不良反应发生。</w:t>
      </w:r>
    </w:p>
    <w:p w14:paraId="37EE7720">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（7）饮水与饮食：检查后应多喝水，以促进造影剂的排泄。检查后三天内避免饮酒和食用易引起过敏的食物，如海鲜。</w:t>
      </w:r>
    </w:p>
    <w:p w14:paraId="48964DE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（8）后续检查安排：增强检查24小时内不应再做其他MRI检查。</w:t>
      </w:r>
    </w:p>
    <w:p w14:paraId="33AECC81">
      <w:pPr>
        <w:spacing w:line="560" w:lineRule="exact"/>
        <w:ind w:firstLine="420" w:firstLineChars="200"/>
        <w:rPr>
          <w:rFonts w:hint="eastAsia" w:ascii="微软雅黑" w:hAnsi="微软雅黑" w:eastAsia="微软雅黑" w:cs="微软雅黑"/>
          <w:b/>
          <w:bCs w:val="0"/>
          <w:color w:val="002060"/>
          <w:sz w:val="18"/>
          <w:szCs w:val="18"/>
          <w:highlight w:val="green"/>
          <w:lang w:val="en-US" w:eastAsia="zh-CN"/>
        </w:rPr>
      </w:pPr>
      <w:r>
        <w:rPr>
          <w:rFonts w:hint="eastAsia" w:ascii="微软雅黑" w:hAnsi="微软雅黑" w:eastAsia="微软雅黑" w:cs="微软雅黑"/>
          <w:bCs/>
          <w:color w:val="002060"/>
          <w:sz w:val="21"/>
          <w:szCs w:val="21"/>
          <w:highlight w:val="none"/>
          <w:lang w:val="en-US" w:eastAsia="zh-CN"/>
        </w:rPr>
        <w:t>（9）检查过程要求:做检查过程中，切记一定不能动，根据指令配合吸气、呼气和憋气；</w:t>
      </w:r>
    </w:p>
    <w:p w14:paraId="3820F31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八、分级诊疗：</w:t>
      </w:r>
    </w:p>
    <w:p w14:paraId="337ABE85">
      <w:pPr>
        <w:spacing w:line="560" w:lineRule="exact"/>
        <w:ind w:firstLine="420" w:firstLineChars="200"/>
        <w:rPr>
          <w:rFonts w:hint="default"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联系电话：022-82650760</w:t>
      </w:r>
    </w:p>
    <w:p w14:paraId="3B6CEBD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（一）双向转诊</w:t>
      </w:r>
    </w:p>
    <w:p w14:paraId="0C15262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服务内容：双方建成医联体合作关系，执行双向转诊程序。下级医院将急危重症的患者转往我院，我院将进入恢复期的转诊患者回转下级医院。上级医院将进入恢复期的转诊患者转入我院，我院将急危重症患者转往上级医院。</w:t>
      </w:r>
    </w:p>
    <w:p w14:paraId="7CDCE548">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机构：天津肿瘤医院、天津市中医药研究院附属医院、天津市第三中心医院、天津市环湖医院、天津市胸科医院、天津中医药大学第二附属医院、天津市中西医结合医院（南开医院）、天津市人民医院、天津医科大学第二医院、天津医科大学眼科医院、天津儿童医院、宝坻区人民医院、宝平医院、海滨医院、林亭口医院、大口屯医院、黑狼口医院、大钟医院、大唐医院等。</w:t>
      </w:r>
    </w:p>
    <w:p w14:paraId="4BAAC34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流程：转出方通过转入方双向转诊负责人，将符合转诊指征的患者基本 信息告知，并填写《双向转诊申请单》。转出方应妥善安排患者转诊转入方，并提前取得联系。转诊单由患者携带直接前往转入方接诊科室就诊或办理住院。转入方为转出方患者建立号源绿色通道机制，提供一站式转诊服务。转出方接诊科室继续跟踪回转患者的后续治疗，与转入方人员充分沟通，进行必要的业务指导。</w:t>
      </w:r>
    </w:p>
    <w:p w14:paraId="366336A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医联体、专科联盟</w:t>
      </w:r>
    </w:p>
    <w:p w14:paraId="7BA2A4A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服务内容：双向转诊；会诊、查房、讲课；坐诊；人才培养；中医适宜技术推广</w:t>
      </w:r>
    </w:p>
    <w:p w14:paraId="53A94D7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机构：天津中医药大学第一附属医院、天津医科大学眼科医院、天津市儿童医院、天津市人民医院、天津市中西医结合医院（南开医院）、天津医科大学第二医院、天津肿瘤医院乳腺专科联盟、天津市环湖医院神经专科联盟、宝坻区各一级医院。</w:t>
      </w:r>
    </w:p>
    <w:p w14:paraId="653E5A5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九、临床研究：</w:t>
      </w:r>
    </w:p>
    <w:p w14:paraId="2644005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（一）项目研究者开展研究，应当获得受试者自愿签署的知情同意书；受试者不能以书面方式表示同意时，项目研究者应当获得其口头知情同意，并提交过程记录和证明材料；</w:t>
      </w:r>
    </w:p>
    <w:p w14:paraId="3F948822">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（二）对无行为能力、限制行为能力的受试者，项目研究者应当获得其监护人或者法定代理人的书面知情同意；</w:t>
      </w:r>
    </w:p>
    <w:p w14:paraId="1CC4154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（三）知情同意书应当含有必要、完整的信息，并以受试者能够理解的语言文字表达；</w:t>
      </w:r>
    </w:p>
    <w:p w14:paraId="4E28107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（四）知情同意书应当包括以下内容：</w:t>
      </w:r>
    </w:p>
    <w:p w14:paraId="16BD268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1.研究目的、基本研究内容、流程、方法及研究时限；</w:t>
      </w:r>
    </w:p>
    <w:p w14:paraId="0F29AABD">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2.研究者基本信息及研究机构资质；</w:t>
      </w:r>
    </w:p>
    <w:p w14:paraId="3C5F1C08">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3.研究结果可能给受试者、相关人员和社会带来的益处，以及给受试者可能带来的不适和风险；</w:t>
      </w:r>
    </w:p>
    <w:p w14:paraId="2263071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4.对受试者的保护措施；</w:t>
      </w:r>
    </w:p>
    <w:p w14:paraId="6A76861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5.研究数据和受试者个人资料的保密范围和措施；</w:t>
      </w:r>
    </w:p>
    <w:p w14:paraId="17BCEB1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6.受试者的权利，包括自愿参加和随时退出、知情、同意或不同意、保密、补偿、受损害时获得免费治疗和赔偿、新信息的获取、新版本知情同意书的再次签署、获得知情同意书等；</w:t>
      </w:r>
    </w:p>
    <w:p w14:paraId="159456B8">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7.受试者在参与研究前、研究后和研究过程中的注意事项。</w:t>
      </w:r>
    </w:p>
    <w:p w14:paraId="623E06D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五）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p>
    <w:p w14:paraId="7E2A83C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项目研究者应当给予受试者充分的时间理解知情同意书的内容，由受试者作出是否同意参加研究的决定并签署知情同意书。</w:t>
      </w:r>
    </w:p>
    <w:p w14:paraId="0E66236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在心理学研究中，因知情同意可能影响受试者对问题的回答，从而影响研究结果的准确性的，研究者可以在项目研究完成后充分告知受试者并获得知情同意书。</w:t>
      </w:r>
    </w:p>
    <w:p w14:paraId="46A23DE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（六）当发生下列情形时，研究者应当再次获取受试者签署的知情同意书：</w:t>
      </w:r>
    </w:p>
    <w:p w14:paraId="4136A18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1.研究方案、范围、内容发生变化的；</w:t>
      </w:r>
    </w:p>
    <w:p w14:paraId="7AA4D0A1">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2.利用过去用于诊断、治疗的有身份标识的样本进行研究的；</w:t>
      </w:r>
    </w:p>
    <w:p w14:paraId="31BF503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3.生物样本数据库中有身份标识的人体生物学样本或者相关临床病史资料，再次使用进行研究的；</w:t>
      </w:r>
    </w:p>
    <w:p w14:paraId="2F3C266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4.研究过程中发生其他变化的。</w:t>
      </w:r>
    </w:p>
    <w:p w14:paraId="6D2D7613">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（七）以下情形经伦理委员会审查批准后，可以免除签署知情同意书：</w:t>
      </w:r>
    </w:p>
    <w:p w14:paraId="506C12CE">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1.利用可识别身者数据进行研究，已无法找到该受试者，且研究项目不涉及个人隐私和商业利益的；</w:t>
      </w:r>
    </w:p>
    <w:p w14:paraId="7E9C9E34">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2.生物样本捐献者已经签署了知情同意书，同意所捐献样本及相关信息可用于所有医学研究的。</w:t>
      </w:r>
    </w:p>
    <w:p w14:paraId="221D5B3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（八）临床研究项目不得向受试者收费。</w:t>
      </w:r>
    </w:p>
    <w:p w14:paraId="41B02547">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十、服务时间：</w:t>
      </w:r>
    </w:p>
    <w:p w14:paraId="00EB35BA">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普通、专家门诊：上午 8: 00—11: 30 下午（冬季）13:30--17:00（夏季）14: 00—18: 00 （含节假日 ）</w:t>
      </w:r>
    </w:p>
    <w:p w14:paraId="12468995">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急诊：24小时应诊</w:t>
      </w:r>
    </w:p>
    <w:p w14:paraId="620C9DAC">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十三、交通情况：</w:t>
      </w:r>
    </w:p>
    <w:p w14:paraId="5A8A6249">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公交：592路、593路中医院站下车</w:t>
      </w:r>
    </w:p>
    <w:p w14:paraId="5697E3CF">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r>
        <w:rPr>
          <w:rFonts w:hint="eastAsia" w:ascii="微软雅黑" w:hAnsi="微软雅黑" w:eastAsia="微软雅黑" w:cs="微软雅黑"/>
          <w:bCs/>
          <w:color w:val="002060"/>
          <w:sz w:val="21"/>
          <w:szCs w:val="21"/>
          <w:highlight w:val="none"/>
          <w:lang w:val="en-US" w:eastAsia="zh-CN"/>
        </w:rPr>
        <w:t>驾车：南关大街115号</w:t>
      </w:r>
      <w:bookmarkStart w:id="0" w:name="_GoBack"/>
      <w:bookmarkEnd w:id="0"/>
    </w:p>
    <w:p w14:paraId="225B2106">
      <w:pPr>
        <w:spacing w:line="560" w:lineRule="exact"/>
        <w:ind w:firstLine="420" w:firstLineChars="200"/>
        <w:rPr>
          <w:rFonts w:hint="eastAsia" w:ascii="微软雅黑" w:hAnsi="微软雅黑" w:eastAsia="微软雅黑" w:cs="微软雅黑"/>
          <w:bCs/>
          <w:color w:val="002060"/>
          <w:sz w:val="21"/>
          <w:szCs w:val="21"/>
          <w:highlight w:val="none"/>
          <w:lang w:val="en-US" w:eastAsia="zh-CN"/>
        </w:rPr>
      </w:pPr>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A663F38A-9B99-41F7-B24F-6F6381ED51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9A3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338A82">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PzQ/fAQAAu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vMC5bmiv71AWnMPH1qPfabJqI7zfyn&#10;/UtL8/c5Zz28uc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GRPzQ/fAQAAuwMAAA4AAAAA&#10;AAAAAQAgAAAAHwEAAGRycy9lMm9Eb2MueG1sUEsFBgAAAAAGAAYAWQEAAHAFAAAAAA==&#10;">
              <v:fill on="f" focussize="0,0"/>
              <v:stroke on="f" weight="0.5pt"/>
              <v:imagedata o:title=""/>
              <o:lock v:ext="edit" aspectratio="f"/>
              <v:textbox inset="0mm,0mm,0mm,0mm" style="mso-fit-shape-to-text:t;">
                <w:txbxContent>
                  <w:p w14:paraId="55338A82">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0E340D"/>
    <w:rsid w:val="0017139A"/>
    <w:rsid w:val="00236E14"/>
    <w:rsid w:val="002C1710"/>
    <w:rsid w:val="002E23F8"/>
    <w:rsid w:val="003357D8"/>
    <w:rsid w:val="004255C6"/>
    <w:rsid w:val="00494FFB"/>
    <w:rsid w:val="004F5239"/>
    <w:rsid w:val="00581C25"/>
    <w:rsid w:val="005850D1"/>
    <w:rsid w:val="00851224"/>
    <w:rsid w:val="00861E8F"/>
    <w:rsid w:val="008A3D9D"/>
    <w:rsid w:val="00903F46"/>
    <w:rsid w:val="00935FBF"/>
    <w:rsid w:val="009846B0"/>
    <w:rsid w:val="00B50151"/>
    <w:rsid w:val="00B676E5"/>
    <w:rsid w:val="00C96DEE"/>
    <w:rsid w:val="010C299E"/>
    <w:rsid w:val="013C690E"/>
    <w:rsid w:val="01854DF6"/>
    <w:rsid w:val="01904F18"/>
    <w:rsid w:val="01E52B01"/>
    <w:rsid w:val="02672DC5"/>
    <w:rsid w:val="027654C7"/>
    <w:rsid w:val="02866093"/>
    <w:rsid w:val="028B6241"/>
    <w:rsid w:val="028E13EB"/>
    <w:rsid w:val="02B250DA"/>
    <w:rsid w:val="02B41F9E"/>
    <w:rsid w:val="02DC3B7C"/>
    <w:rsid w:val="02F0175E"/>
    <w:rsid w:val="02F56D74"/>
    <w:rsid w:val="02F96864"/>
    <w:rsid w:val="031B7630"/>
    <w:rsid w:val="032338E1"/>
    <w:rsid w:val="03265180"/>
    <w:rsid w:val="03294BC4"/>
    <w:rsid w:val="03353D51"/>
    <w:rsid w:val="033A6423"/>
    <w:rsid w:val="033D1DCF"/>
    <w:rsid w:val="036C617D"/>
    <w:rsid w:val="036D4CFA"/>
    <w:rsid w:val="036F4D79"/>
    <w:rsid w:val="03764359"/>
    <w:rsid w:val="037F1DDC"/>
    <w:rsid w:val="03E01910"/>
    <w:rsid w:val="03E601EE"/>
    <w:rsid w:val="040C0819"/>
    <w:rsid w:val="04267BE9"/>
    <w:rsid w:val="044163B3"/>
    <w:rsid w:val="04572F0C"/>
    <w:rsid w:val="04691DDD"/>
    <w:rsid w:val="04730898"/>
    <w:rsid w:val="047B7DC8"/>
    <w:rsid w:val="048D2738"/>
    <w:rsid w:val="04A668AD"/>
    <w:rsid w:val="04A7196A"/>
    <w:rsid w:val="04AC0F3D"/>
    <w:rsid w:val="04B74C29"/>
    <w:rsid w:val="04D94B9F"/>
    <w:rsid w:val="04ED08EF"/>
    <w:rsid w:val="04FC088E"/>
    <w:rsid w:val="04FC263C"/>
    <w:rsid w:val="051D49E5"/>
    <w:rsid w:val="054B711F"/>
    <w:rsid w:val="05542478"/>
    <w:rsid w:val="055661F0"/>
    <w:rsid w:val="05690402"/>
    <w:rsid w:val="056D0835"/>
    <w:rsid w:val="05927718"/>
    <w:rsid w:val="05974724"/>
    <w:rsid w:val="05AF3B52"/>
    <w:rsid w:val="05CA03F8"/>
    <w:rsid w:val="05F7322D"/>
    <w:rsid w:val="061816F7"/>
    <w:rsid w:val="06314567"/>
    <w:rsid w:val="0653264B"/>
    <w:rsid w:val="06787267"/>
    <w:rsid w:val="06AE3E0A"/>
    <w:rsid w:val="07613C0E"/>
    <w:rsid w:val="0763581A"/>
    <w:rsid w:val="077F43DC"/>
    <w:rsid w:val="07966D78"/>
    <w:rsid w:val="07CB6F6E"/>
    <w:rsid w:val="07D16CD0"/>
    <w:rsid w:val="07DE24CD"/>
    <w:rsid w:val="0881384D"/>
    <w:rsid w:val="08BF520D"/>
    <w:rsid w:val="08C43471"/>
    <w:rsid w:val="08C835F4"/>
    <w:rsid w:val="08D17D60"/>
    <w:rsid w:val="09021F6F"/>
    <w:rsid w:val="094264B0"/>
    <w:rsid w:val="094C3466"/>
    <w:rsid w:val="09756E61"/>
    <w:rsid w:val="09821693"/>
    <w:rsid w:val="09880942"/>
    <w:rsid w:val="099E26EF"/>
    <w:rsid w:val="0A0D60C8"/>
    <w:rsid w:val="0A726EFC"/>
    <w:rsid w:val="0A904FFC"/>
    <w:rsid w:val="0AAA19CF"/>
    <w:rsid w:val="0ABB4D47"/>
    <w:rsid w:val="0ADE6740"/>
    <w:rsid w:val="0AEE2A27"/>
    <w:rsid w:val="0B071D3B"/>
    <w:rsid w:val="0B3F3282"/>
    <w:rsid w:val="0BA17A99"/>
    <w:rsid w:val="0BDE2D08"/>
    <w:rsid w:val="0C040A60"/>
    <w:rsid w:val="0C4D7C21"/>
    <w:rsid w:val="0C594818"/>
    <w:rsid w:val="0C6B6869"/>
    <w:rsid w:val="0C6D2071"/>
    <w:rsid w:val="0C722836"/>
    <w:rsid w:val="0CB67574"/>
    <w:rsid w:val="0CF54541"/>
    <w:rsid w:val="0D34791F"/>
    <w:rsid w:val="0D8B01D7"/>
    <w:rsid w:val="0DC45CC1"/>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005262"/>
    <w:rsid w:val="1132547A"/>
    <w:rsid w:val="1154554F"/>
    <w:rsid w:val="116021A5"/>
    <w:rsid w:val="11987B90"/>
    <w:rsid w:val="11A7392F"/>
    <w:rsid w:val="11B06C88"/>
    <w:rsid w:val="11B60EC7"/>
    <w:rsid w:val="11CC10FB"/>
    <w:rsid w:val="11E22BBA"/>
    <w:rsid w:val="11E86AF6"/>
    <w:rsid w:val="11F04423"/>
    <w:rsid w:val="120D005F"/>
    <w:rsid w:val="121F5BBC"/>
    <w:rsid w:val="12525F91"/>
    <w:rsid w:val="12592FC4"/>
    <w:rsid w:val="12843C71"/>
    <w:rsid w:val="12A165D1"/>
    <w:rsid w:val="12AB2D5C"/>
    <w:rsid w:val="12B10F0A"/>
    <w:rsid w:val="130736EC"/>
    <w:rsid w:val="130A23C8"/>
    <w:rsid w:val="130C4392"/>
    <w:rsid w:val="132F3F4B"/>
    <w:rsid w:val="134F1DF4"/>
    <w:rsid w:val="13531FC1"/>
    <w:rsid w:val="13893C35"/>
    <w:rsid w:val="13BB7B66"/>
    <w:rsid w:val="13C95DDF"/>
    <w:rsid w:val="13D01C72"/>
    <w:rsid w:val="13F6019C"/>
    <w:rsid w:val="1444190A"/>
    <w:rsid w:val="146401FE"/>
    <w:rsid w:val="14B051F1"/>
    <w:rsid w:val="14E804E7"/>
    <w:rsid w:val="152D4306"/>
    <w:rsid w:val="1585042C"/>
    <w:rsid w:val="1598015F"/>
    <w:rsid w:val="15D05608"/>
    <w:rsid w:val="15EA5FFB"/>
    <w:rsid w:val="15FF1F8C"/>
    <w:rsid w:val="16507050"/>
    <w:rsid w:val="169C5A2D"/>
    <w:rsid w:val="16B81863"/>
    <w:rsid w:val="16DE7DF3"/>
    <w:rsid w:val="17155F41"/>
    <w:rsid w:val="17384B12"/>
    <w:rsid w:val="173C0FBE"/>
    <w:rsid w:val="17604CAC"/>
    <w:rsid w:val="17DE07C9"/>
    <w:rsid w:val="182241ED"/>
    <w:rsid w:val="186B16C9"/>
    <w:rsid w:val="1875756F"/>
    <w:rsid w:val="187A3B4C"/>
    <w:rsid w:val="18910E95"/>
    <w:rsid w:val="18B2778A"/>
    <w:rsid w:val="18B64574"/>
    <w:rsid w:val="18C272A1"/>
    <w:rsid w:val="18C94AD3"/>
    <w:rsid w:val="192E1A32"/>
    <w:rsid w:val="1941206D"/>
    <w:rsid w:val="19466124"/>
    <w:rsid w:val="194D1260"/>
    <w:rsid w:val="19766A09"/>
    <w:rsid w:val="19946E7F"/>
    <w:rsid w:val="19F33460"/>
    <w:rsid w:val="1A626F8D"/>
    <w:rsid w:val="1ACF6C75"/>
    <w:rsid w:val="1AF72038"/>
    <w:rsid w:val="1AFD2812"/>
    <w:rsid w:val="1B124510"/>
    <w:rsid w:val="1B245FF1"/>
    <w:rsid w:val="1B5B4B1C"/>
    <w:rsid w:val="1B6F0841"/>
    <w:rsid w:val="1BDF561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9D67E6"/>
    <w:rsid w:val="1EA336D1"/>
    <w:rsid w:val="1EB15DEE"/>
    <w:rsid w:val="1F0514E0"/>
    <w:rsid w:val="1F1620F4"/>
    <w:rsid w:val="1F2667DB"/>
    <w:rsid w:val="1F43738D"/>
    <w:rsid w:val="1F6966C8"/>
    <w:rsid w:val="1F974FE3"/>
    <w:rsid w:val="1FA923BC"/>
    <w:rsid w:val="1FB7185B"/>
    <w:rsid w:val="1FDD539E"/>
    <w:rsid w:val="1FF00B97"/>
    <w:rsid w:val="1FF22B62"/>
    <w:rsid w:val="1FF70178"/>
    <w:rsid w:val="20711CD8"/>
    <w:rsid w:val="20803CC9"/>
    <w:rsid w:val="20991CAD"/>
    <w:rsid w:val="20A63147"/>
    <w:rsid w:val="20B87907"/>
    <w:rsid w:val="20E963DB"/>
    <w:rsid w:val="20FA4B00"/>
    <w:rsid w:val="20FE1726"/>
    <w:rsid w:val="21273470"/>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4E2D73"/>
    <w:rsid w:val="275D6109"/>
    <w:rsid w:val="276C144B"/>
    <w:rsid w:val="27993E70"/>
    <w:rsid w:val="279A1B15"/>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A14EA"/>
    <w:rsid w:val="2D5C161A"/>
    <w:rsid w:val="2D625F54"/>
    <w:rsid w:val="2D6D1A79"/>
    <w:rsid w:val="2DA1222C"/>
    <w:rsid w:val="2DE0049D"/>
    <w:rsid w:val="2DE610BC"/>
    <w:rsid w:val="2DFE0923"/>
    <w:rsid w:val="2E051CB2"/>
    <w:rsid w:val="2E1070D9"/>
    <w:rsid w:val="2E276A03"/>
    <w:rsid w:val="2E3706E6"/>
    <w:rsid w:val="2E61338C"/>
    <w:rsid w:val="2E617BCB"/>
    <w:rsid w:val="2E9A77AF"/>
    <w:rsid w:val="2EA65243"/>
    <w:rsid w:val="2EC85340"/>
    <w:rsid w:val="2ED457CC"/>
    <w:rsid w:val="2EE713B8"/>
    <w:rsid w:val="2F367926"/>
    <w:rsid w:val="2F4B3ADA"/>
    <w:rsid w:val="2F866E22"/>
    <w:rsid w:val="2FBB034A"/>
    <w:rsid w:val="2FDD2BAB"/>
    <w:rsid w:val="30055F99"/>
    <w:rsid w:val="30111D9A"/>
    <w:rsid w:val="30442F65"/>
    <w:rsid w:val="30476D7A"/>
    <w:rsid w:val="30534132"/>
    <w:rsid w:val="306C7E5F"/>
    <w:rsid w:val="30B50BEA"/>
    <w:rsid w:val="30D45596"/>
    <w:rsid w:val="313510A1"/>
    <w:rsid w:val="31450434"/>
    <w:rsid w:val="315E56FD"/>
    <w:rsid w:val="31B22151"/>
    <w:rsid w:val="321B5F48"/>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4A041F"/>
    <w:rsid w:val="345117AD"/>
    <w:rsid w:val="345533DC"/>
    <w:rsid w:val="34841780"/>
    <w:rsid w:val="34DF325D"/>
    <w:rsid w:val="34F36D08"/>
    <w:rsid w:val="35185E76"/>
    <w:rsid w:val="35215623"/>
    <w:rsid w:val="35352FE9"/>
    <w:rsid w:val="35C506A4"/>
    <w:rsid w:val="35EB5C31"/>
    <w:rsid w:val="35FF348B"/>
    <w:rsid w:val="36193EBC"/>
    <w:rsid w:val="363745F6"/>
    <w:rsid w:val="36512587"/>
    <w:rsid w:val="365525CB"/>
    <w:rsid w:val="366A2C0A"/>
    <w:rsid w:val="3690682E"/>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13DAE"/>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0510E8"/>
    <w:rsid w:val="40153FD6"/>
    <w:rsid w:val="403326AF"/>
    <w:rsid w:val="40363976"/>
    <w:rsid w:val="403A4AB5"/>
    <w:rsid w:val="407F76A2"/>
    <w:rsid w:val="40BD2D00"/>
    <w:rsid w:val="40E57E4D"/>
    <w:rsid w:val="4133521D"/>
    <w:rsid w:val="414138D2"/>
    <w:rsid w:val="414B02DC"/>
    <w:rsid w:val="414F5751"/>
    <w:rsid w:val="418E2292"/>
    <w:rsid w:val="41931657"/>
    <w:rsid w:val="41B16CBC"/>
    <w:rsid w:val="41CA0DF1"/>
    <w:rsid w:val="41D754D6"/>
    <w:rsid w:val="41F71DD8"/>
    <w:rsid w:val="4201746D"/>
    <w:rsid w:val="4257558E"/>
    <w:rsid w:val="42593685"/>
    <w:rsid w:val="425F3C2F"/>
    <w:rsid w:val="426D00FA"/>
    <w:rsid w:val="42703746"/>
    <w:rsid w:val="42DE2DA6"/>
    <w:rsid w:val="43454BD3"/>
    <w:rsid w:val="4357358D"/>
    <w:rsid w:val="43594E0B"/>
    <w:rsid w:val="43A01E09"/>
    <w:rsid w:val="440D3CD6"/>
    <w:rsid w:val="440E76BA"/>
    <w:rsid w:val="4435614C"/>
    <w:rsid w:val="44932D89"/>
    <w:rsid w:val="44D501D8"/>
    <w:rsid w:val="44E64193"/>
    <w:rsid w:val="454113CA"/>
    <w:rsid w:val="457D7633"/>
    <w:rsid w:val="45EA7CB3"/>
    <w:rsid w:val="46050F7F"/>
    <w:rsid w:val="460C7C2A"/>
    <w:rsid w:val="46477A59"/>
    <w:rsid w:val="465357FF"/>
    <w:rsid w:val="465F614C"/>
    <w:rsid w:val="468123C6"/>
    <w:rsid w:val="46A41C10"/>
    <w:rsid w:val="46BC1650"/>
    <w:rsid w:val="470D1EAB"/>
    <w:rsid w:val="4756003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86110"/>
    <w:rsid w:val="4B11724C"/>
    <w:rsid w:val="4B1A6945"/>
    <w:rsid w:val="4B1D643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144003"/>
    <w:rsid w:val="4D312CA5"/>
    <w:rsid w:val="4D3735CE"/>
    <w:rsid w:val="4D616AAD"/>
    <w:rsid w:val="4D6B3488"/>
    <w:rsid w:val="4D6D5452"/>
    <w:rsid w:val="4D905AE9"/>
    <w:rsid w:val="4DC826E0"/>
    <w:rsid w:val="4DCB203A"/>
    <w:rsid w:val="4DF109D9"/>
    <w:rsid w:val="4E0C7C04"/>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1500EE"/>
    <w:rsid w:val="504D3DB0"/>
    <w:rsid w:val="509B22D6"/>
    <w:rsid w:val="50ED0658"/>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4C5B09"/>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044878"/>
    <w:rsid w:val="552F50E6"/>
    <w:rsid w:val="55A17305"/>
    <w:rsid w:val="55AE1B1A"/>
    <w:rsid w:val="55EC0491"/>
    <w:rsid w:val="55F71430"/>
    <w:rsid w:val="562A0E65"/>
    <w:rsid w:val="56306A59"/>
    <w:rsid w:val="563F39B0"/>
    <w:rsid w:val="566E3FE9"/>
    <w:rsid w:val="567053AF"/>
    <w:rsid w:val="56824C41"/>
    <w:rsid w:val="575E2B2D"/>
    <w:rsid w:val="57631674"/>
    <w:rsid w:val="577D2531"/>
    <w:rsid w:val="578259EC"/>
    <w:rsid w:val="57825F9E"/>
    <w:rsid w:val="578577C1"/>
    <w:rsid w:val="57CC0FC7"/>
    <w:rsid w:val="58051830"/>
    <w:rsid w:val="58296419"/>
    <w:rsid w:val="584E0089"/>
    <w:rsid w:val="58655923"/>
    <w:rsid w:val="586B4C84"/>
    <w:rsid w:val="58840A9C"/>
    <w:rsid w:val="589D0BB5"/>
    <w:rsid w:val="58AE7AFC"/>
    <w:rsid w:val="58B008E9"/>
    <w:rsid w:val="58B52488"/>
    <w:rsid w:val="58DA6810"/>
    <w:rsid w:val="58DE25B5"/>
    <w:rsid w:val="58F46A27"/>
    <w:rsid w:val="592863C4"/>
    <w:rsid w:val="596C0CB3"/>
    <w:rsid w:val="5980475F"/>
    <w:rsid w:val="599F088C"/>
    <w:rsid w:val="59C72A09"/>
    <w:rsid w:val="59C778E7"/>
    <w:rsid w:val="59CC2AAD"/>
    <w:rsid w:val="59E75CB2"/>
    <w:rsid w:val="5A0233C6"/>
    <w:rsid w:val="5A604280"/>
    <w:rsid w:val="5AC11897"/>
    <w:rsid w:val="5BF846A1"/>
    <w:rsid w:val="5C171A25"/>
    <w:rsid w:val="5C1F2DD9"/>
    <w:rsid w:val="5C2A0B83"/>
    <w:rsid w:val="5C471564"/>
    <w:rsid w:val="5C8F0B8C"/>
    <w:rsid w:val="5C8F6A67"/>
    <w:rsid w:val="5CA955E7"/>
    <w:rsid w:val="5CC11929"/>
    <w:rsid w:val="5CC2508E"/>
    <w:rsid w:val="5CDA72D3"/>
    <w:rsid w:val="5D187246"/>
    <w:rsid w:val="5D2D2791"/>
    <w:rsid w:val="5D350482"/>
    <w:rsid w:val="5D435D1D"/>
    <w:rsid w:val="5D794F45"/>
    <w:rsid w:val="5D7A56E1"/>
    <w:rsid w:val="5D86262B"/>
    <w:rsid w:val="5DA70E69"/>
    <w:rsid w:val="5DAB687E"/>
    <w:rsid w:val="5DF1166D"/>
    <w:rsid w:val="5DFE16F5"/>
    <w:rsid w:val="5E1436C8"/>
    <w:rsid w:val="5E744A50"/>
    <w:rsid w:val="5E8E5183"/>
    <w:rsid w:val="5EC41D86"/>
    <w:rsid w:val="5ECB647C"/>
    <w:rsid w:val="5ED56A95"/>
    <w:rsid w:val="5EDD61AF"/>
    <w:rsid w:val="5F011E9E"/>
    <w:rsid w:val="5F2B2A77"/>
    <w:rsid w:val="5F3523ED"/>
    <w:rsid w:val="5F612B5C"/>
    <w:rsid w:val="5F872A58"/>
    <w:rsid w:val="5FBC7B73"/>
    <w:rsid w:val="6032768D"/>
    <w:rsid w:val="603910DA"/>
    <w:rsid w:val="60681AA9"/>
    <w:rsid w:val="607322A7"/>
    <w:rsid w:val="60F36ADC"/>
    <w:rsid w:val="615C3ADA"/>
    <w:rsid w:val="617701F5"/>
    <w:rsid w:val="618E553F"/>
    <w:rsid w:val="61965AFD"/>
    <w:rsid w:val="61AB60F1"/>
    <w:rsid w:val="61BF0E4D"/>
    <w:rsid w:val="61F91536"/>
    <w:rsid w:val="62255EA3"/>
    <w:rsid w:val="62683FE2"/>
    <w:rsid w:val="62770B73"/>
    <w:rsid w:val="62885CA6"/>
    <w:rsid w:val="62A3501A"/>
    <w:rsid w:val="62C751AC"/>
    <w:rsid w:val="62D4751E"/>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4F90F11"/>
    <w:rsid w:val="65064640"/>
    <w:rsid w:val="650C7EE3"/>
    <w:rsid w:val="655136DA"/>
    <w:rsid w:val="659C7C08"/>
    <w:rsid w:val="65BE41D8"/>
    <w:rsid w:val="65D73958"/>
    <w:rsid w:val="65EB7404"/>
    <w:rsid w:val="66342B59"/>
    <w:rsid w:val="66504CE3"/>
    <w:rsid w:val="6655487D"/>
    <w:rsid w:val="667F048D"/>
    <w:rsid w:val="6699621D"/>
    <w:rsid w:val="66A56941"/>
    <w:rsid w:val="66BB693E"/>
    <w:rsid w:val="66C7577B"/>
    <w:rsid w:val="66E225B5"/>
    <w:rsid w:val="66F43704"/>
    <w:rsid w:val="671408F3"/>
    <w:rsid w:val="677F6056"/>
    <w:rsid w:val="67B53825"/>
    <w:rsid w:val="681A37E2"/>
    <w:rsid w:val="682E5386"/>
    <w:rsid w:val="685E1247"/>
    <w:rsid w:val="68802085"/>
    <w:rsid w:val="68907DEF"/>
    <w:rsid w:val="689C543D"/>
    <w:rsid w:val="68FC7232"/>
    <w:rsid w:val="68FF6B09"/>
    <w:rsid w:val="69A00505"/>
    <w:rsid w:val="69B83AA1"/>
    <w:rsid w:val="6A163D2C"/>
    <w:rsid w:val="6A1C4030"/>
    <w:rsid w:val="6A425452"/>
    <w:rsid w:val="6A795CF7"/>
    <w:rsid w:val="6A817E95"/>
    <w:rsid w:val="6A9F1EAC"/>
    <w:rsid w:val="6AB06526"/>
    <w:rsid w:val="6AC65D4A"/>
    <w:rsid w:val="6B680BAF"/>
    <w:rsid w:val="6BD24BEE"/>
    <w:rsid w:val="6BD4493D"/>
    <w:rsid w:val="6BF31356"/>
    <w:rsid w:val="6C05153C"/>
    <w:rsid w:val="6C156F89"/>
    <w:rsid w:val="6C417D7E"/>
    <w:rsid w:val="6C5C4BB7"/>
    <w:rsid w:val="6CCB2AC6"/>
    <w:rsid w:val="6D464F20"/>
    <w:rsid w:val="6D604192"/>
    <w:rsid w:val="6D9D5A27"/>
    <w:rsid w:val="6DCA721B"/>
    <w:rsid w:val="6DD349A2"/>
    <w:rsid w:val="6DF45878"/>
    <w:rsid w:val="6E0C43BB"/>
    <w:rsid w:val="6E154A1C"/>
    <w:rsid w:val="6E233E7E"/>
    <w:rsid w:val="6E5042A8"/>
    <w:rsid w:val="6E557B10"/>
    <w:rsid w:val="6E6E06E9"/>
    <w:rsid w:val="6E786ABC"/>
    <w:rsid w:val="6E91041D"/>
    <w:rsid w:val="6E9461B0"/>
    <w:rsid w:val="6EB81E4D"/>
    <w:rsid w:val="6EB82830"/>
    <w:rsid w:val="6ECD58F9"/>
    <w:rsid w:val="6ECF78C3"/>
    <w:rsid w:val="6F1D2190"/>
    <w:rsid w:val="6F366D76"/>
    <w:rsid w:val="6F711063"/>
    <w:rsid w:val="6F894A4A"/>
    <w:rsid w:val="6FA40502"/>
    <w:rsid w:val="6FD35191"/>
    <w:rsid w:val="6FFD045F"/>
    <w:rsid w:val="700E0FA8"/>
    <w:rsid w:val="702B1923"/>
    <w:rsid w:val="70936D43"/>
    <w:rsid w:val="70B77024"/>
    <w:rsid w:val="70F81FDA"/>
    <w:rsid w:val="71072C18"/>
    <w:rsid w:val="711B73D3"/>
    <w:rsid w:val="712612F0"/>
    <w:rsid w:val="714A1C1F"/>
    <w:rsid w:val="71B7463E"/>
    <w:rsid w:val="71CE1B51"/>
    <w:rsid w:val="71DC5E53"/>
    <w:rsid w:val="71F87130"/>
    <w:rsid w:val="71FB066A"/>
    <w:rsid w:val="72A27351"/>
    <w:rsid w:val="72CC4119"/>
    <w:rsid w:val="72EF2AA3"/>
    <w:rsid w:val="733221CE"/>
    <w:rsid w:val="7363682B"/>
    <w:rsid w:val="7375655F"/>
    <w:rsid w:val="73BF47DD"/>
    <w:rsid w:val="73DC213A"/>
    <w:rsid w:val="73F61362"/>
    <w:rsid w:val="74035919"/>
    <w:rsid w:val="743D707D"/>
    <w:rsid w:val="745A5E80"/>
    <w:rsid w:val="747D1B6F"/>
    <w:rsid w:val="74A4534E"/>
    <w:rsid w:val="74B53B97"/>
    <w:rsid w:val="74CB0B2C"/>
    <w:rsid w:val="74FA31C0"/>
    <w:rsid w:val="7538447B"/>
    <w:rsid w:val="75416349"/>
    <w:rsid w:val="7551370F"/>
    <w:rsid w:val="75555C41"/>
    <w:rsid w:val="755E2D8E"/>
    <w:rsid w:val="756E3B68"/>
    <w:rsid w:val="758B3EEE"/>
    <w:rsid w:val="759F209F"/>
    <w:rsid w:val="75AC2C6C"/>
    <w:rsid w:val="76665502"/>
    <w:rsid w:val="767E29CC"/>
    <w:rsid w:val="76945A25"/>
    <w:rsid w:val="769B32FE"/>
    <w:rsid w:val="76B1432E"/>
    <w:rsid w:val="76B20EDE"/>
    <w:rsid w:val="76EE28B0"/>
    <w:rsid w:val="76F679B7"/>
    <w:rsid w:val="76FD6F97"/>
    <w:rsid w:val="7709593C"/>
    <w:rsid w:val="774E6946"/>
    <w:rsid w:val="77A6318B"/>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C8563A"/>
    <w:rsid w:val="79D447C4"/>
    <w:rsid w:val="79DC7DD4"/>
    <w:rsid w:val="79DF4732"/>
    <w:rsid w:val="7A08012D"/>
    <w:rsid w:val="7A221FCC"/>
    <w:rsid w:val="7A5616AF"/>
    <w:rsid w:val="7A6A04A0"/>
    <w:rsid w:val="7A6A5F24"/>
    <w:rsid w:val="7A867039"/>
    <w:rsid w:val="7AB94F83"/>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317BBA"/>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AC50B6"/>
    <w:rsid w:val="7FB534D6"/>
    <w:rsid w:val="7FB66DFD"/>
    <w:rsid w:val="7FE75982"/>
    <w:rsid w:val="7FF51166"/>
    <w:rsid w:val="7FF9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Template>
  <Pages>13</Pages>
  <Words>7099</Words>
  <Characters>7305</Characters>
  <Lines>48</Lines>
  <Paragraphs>13</Paragraphs>
  <TotalTime>5</TotalTime>
  <ScaleCrop>false</ScaleCrop>
  <LinksUpToDate>false</LinksUpToDate>
  <CharactersWithSpaces>7342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Administrator</cp:lastModifiedBy>
  <dcterms:modified xsi:type="dcterms:W3CDTF">2025-06-20T09:39:39Z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C6890260FF524FC2BC163A04A8172C8D_13</vt:lpwstr>
  </property>
  <property fmtid="{D5CDD505-2E9C-101B-9397-08002B2CF9AE}" pid="4" name="KSOTemplateDocerSaveRecord">
    <vt:lpwstr>eyJoZGlkIjoiYzMxNmNhMDZiMWQwMjYzYTNmOTIwZTNhNmUzN2ZjOWEiLCJ1c2VySWQiOiI4MzE0MjE3MjkifQ==</vt:lpwstr>
  </property>
</Properties>
</file>