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天津市宝坻区潮阳卫生院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sz w:val="21"/>
          <w:szCs w:val="21"/>
          <w:lang w:eastAsia="zh-CN"/>
        </w:rPr>
        <w:t>潮阳卫生院是一所集医疗、预防、保健为一体，以中医为特色的中西结合的社区医院。位于天津市宝坻区水岸蓝庭小区旁，占地面积</w:t>
      </w:r>
      <w:r>
        <w:rPr>
          <w:rFonts w:hint="eastAsia" w:ascii="微软雅黑" w:hAnsi="微软雅黑" w:eastAsia="微软雅黑" w:cs="微软雅黑"/>
          <w:sz w:val="21"/>
          <w:szCs w:val="21"/>
          <w:lang w:val="en-US" w:eastAsia="zh-CN"/>
        </w:rPr>
        <w:t>4085.42㎡，现有干部职工50人，其中高级职称3人，中级职称14人。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临床科室：内科、外科、全科、中医科、</w:t>
      </w:r>
      <w:r>
        <w:rPr>
          <w:rFonts w:hint="eastAsia" w:ascii="微软雅黑" w:hAnsi="微软雅黑" w:eastAsia="微软雅黑" w:cs="微软雅黑"/>
          <w:sz w:val="21"/>
          <w:szCs w:val="21"/>
          <w:lang w:eastAsia="zh-CN"/>
        </w:rPr>
        <w:t>妇科、</w:t>
      </w:r>
      <w:r>
        <w:rPr>
          <w:rFonts w:hint="eastAsia" w:ascii="微软雅黑" w:hAnsi="微软雅黑" w:eastAsia="微软雅黑" w:cs="微软雅黑"/>
          <w:sz w:val="21"/>
          <w:szCs w:val="21"/>
        </w:rPr>
        <w:t>儿科、口腔科、预防保健科</w:t>
      </w:r>
      <w:r>
        <w:rPr>
          <w:rFonts w:hint="eastAsia" w:ascii="微软雅黑" w:hAnsi="微软雅黑" w:eastAsia="微软雅黑" w:cs="微软雅黑"/>
          <w:sz w:val="21"/>
          <w:szCs w:val="21"/>
          <w:lang w:eastAsia="zh-CN"/>
        </w:rPr>
        <w:t>、公共卫生科、</w:t>
      </w:r>
      <w:r>
        <w:rPr>
          <w:rFonts w:hint="eastAsia" w:ascii="微软雅黑" w:hAnsi="微软雅黑" w:eastAsia="微软雅黑" w:cs="微软雅黑"/>
          <w:sz w:val="21"/>
          <w:szCs w:val="21"/>
        </w:rPr>
        <w:t>护理部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医技科室（彩超室、心电图室、多普勒室、检验科、放射科等）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w:t>
      </w:r>
      <w:r>
        <w:rPr>
          <w:rFonts w:hint="eastAsia" w:ascii="微软雅黑" w:hAnsi="微软雅黑" w:eastAsia="微软雅黑" w:cs="微软雅黑"/>
          <w:sz w:val="21"/>
          <w:szCs w:val="21"/>
          <w:lang w:eastAsia="zh-CN"/>
        </w:rPr>
        <w:t>会计室、医保科</w:t>
      </w:r>
      <w:r>
        <w:rPr>
          <w:rFonts w:hint="eastAsia" w:ascii="微软雅黑" w:hAnsi="微软雅黑" w:eastAsia="微软雅黑" w:cs="微软雅黑"/>
          <w:sz w:val="21"/>
          <w:szCs w:val="21"/>
        </w:rPr>
        <w:t>、院感科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3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3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天津市宝坻区人民医院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lang w:val="en-US"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（2）家庭医生签约：我中心建立</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高志强</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双王寺、小兰、苑家庄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13820224612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丁久明</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潮南花园、西广、甘泉、王辛庄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18602681697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刘俊生</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大兰、小赵、烧角、马各庄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18920263329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马建霞</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闫各庄、庄头、莲子营、小广</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13821041586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王洪书</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小套、于庄、庙庄、果园、乔庄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18920263386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于成涛</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东广、润溪园、润悦园、津桥小镇、宝星花园、兰亭社区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13820117711</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w:t>
      </w:r>
      <w:r>
        <w:rPr>
          <w:rFonts w:hint="eastAsia" w:ascii="微软雅黑" w:hAnsi="微软雅黑" w:eastAsia="微软雅黑" w:cs="微软雅黑"/>
          <w:sz w:val="21"/>
          <w:szCs w:val="21"/>
          <w:lang w:eastAsia="zh-CN"/>
        </w:rPr>
        <w:t>骨密度检测、</w:t>
      </w:r>
      <w:r>
        <w:rPr>
          <w:rFonts w:hint="eastAsia" w:ascii="微软雅黑" w:hAnsi="微软雅黑" w:eastAsia="微软雅黑" w:cs="微软雅黑"/>
          <w:sz w:val="21"/>
          <w:szCs w:val="21"/>
        </w:rPr>
        <w:t>黄疸检测、维生素D检测、铁蛋白、微量元素。</w:t>
      </w:r>
    </w:p>
    <w:p>
      <w:pP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sz w:val="21"/>
          <w:szCs w:val="21"/>
        </w:rPr>
        <w:t>手机微信天津预防接种公众号→添加儿童信息→设置</w:t>
      </w:r>
      <w:r>
        <w:rPr>
          <w:rFonts w:hint="eastAsia" w:ascii="微软雅黑" w:hAnsi="微软雅黑" w:eastAsia="微软雅黑" w:cs="微软雅黑"/>
          <w:sz w:val="21"/>
          <w:szCs w:val="21"/>
          <w:lang w:eastAsia="zh-CN"/>
        </w:rPr>
        <w:t>潮阳</w:t>
      </w:r>
      <w:r>
        <w:rPr>
          <w:rFonts w:hint="eastAsia" w:ascii="微软雅黑" w:hAnsi="微软雅黑" w:eastAsia="微软雅黑" w:cs="微软雅黑"/>
          <w:sz w:val="21"/>
          <w:szCs w:val="21"/>
        </w:rPr>
        <w:t>卫生院接种单位→选择预约日期→选择预约时间段。联系方式：</w:t>
      </w:r>
      <w:r>
        <w:rPr>
          <w:rFonts w:hint="eastAsia" w:ascii="微软雅黑" w:hAnsi="微软雅黑" w:eastAsia="微软雅黑" w:cs="微软雅黑"/>
          <w:sz w:val="21"/>
          <w:szCs w:val="21"/>
          <w:lang w:val="en-US" w:eastAsia="zh-CN"/>
        </w:rPr>
        <w:t>18222100070</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门诊大厅服务台。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w:t>
      </w:r>
      <w:r>
        <w:rPr>
          <w:rFonts w:hint="eastAsia" w:ascii="微软雅黑" w:hAnsi="微软雅黑" w:eastAsia="微软雅黑" w:cs="微软雅黑"/>
          <w:sz w:val="21"/>
          <w:szCs w:val="21"/>
          <w:lang w:val="en-US" w:eastAsia="zh-CN"/>
        </w:rPr>
        <w:t>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lang w:val="en-US" w:eastAsia="zh-CN"/>
        </w:rPr>
        <w:t>内</w:t>
      </w:r>
      <w:r>
        <w:rPr>
          <w:rFonts w:hint="eastAsia" w:ascii="微软雅黑" w:hAnsi="微软雅黑" w:eastAsia="微软雅黑" w:cs="微软雅黑"/>
          <w:sz w:val="21"/>
          <w:szCs w:val="21"/>
          <w:lang w:val="en-US" w:eastAsia="zh-CN"/>
        </w:rPr>
        <w:t>科门诊现有5名医师，其中副主任医师1人，主治医师4人。1、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w:t>
      </w:r>
      <w:r>
        <w:rPr>
          <w:rFonts w:hint="eastAsia" w:ascii="微软雅黑" w:hAnsi="微软雅黑" w:eastAsia="微软雅黑" w:cs="微软雅黑"/>
          <w:sz w:val="21"/>
          <w:szCs w:val="21"/>
          <w:highlight w:val="none"/>
        </w:rPr>
        <w:t>康教育工作，开展幽门螺杆菌检测，并对阳性患者进行规范治疗。</w:t>
      </w:r>
      <w:r>
        <w:rPr>
          <w:rFonts w:hint="eastAsia" w:ascii="微软雅黑" w:hAnsi="微软雅黑" w:eastAsia="微软雅黑" w:cs="微软雅黑"/>
          <w:color w:val="auto"/>
          <w:sz w:val="21"/>
          <w:szCs w:val="21"/>
          <w:highlight w:val="none"/>
        </w:rPr>
        <w:t>对居民呼吸道、胃肠道相关症状进行诊断及治疗，规范接诊流程，防范院内传染，近期流感高发季，开展支原体抗体、甲乙流抗原、新冠抗原检测，方便了居民就诊。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胸痛单元门诊</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与上级</w:t>
      </w:r>
      <w:r>
        <w:rPr>
          <w:rFonts w:hint="eastAsia" w:ascii="微软雅黑" w:hAnsi="微软雅黑" w:eastAsia="微软雅黑" w:cs="微软雅黑"/>
          <w:sz w:val="21"/>
          <w:szCs w:val="21"/>
          <w:highlight w:val="none"/>
          <w:lang w:eastAsia="zh-CN"/>
        </w:rPr>
        <w:t>宝坻区人民</w:t>
      </w:r>
      <w:r>
        <w:rPr>
          <w:rFonts w:hint="eastAsia" w:ascii="微软雅黑" w:hAnsi="微软雅黑" w:eastAsia="微软雅黑" w:cs="微软雅黑"/>
          <w:sz w:val="21"/>
          <w:szCs w:val="21"/>
          <w:highlight w:val="none"/>
        </w:rPr>
        <w:t>医院建立上下级转诊关系，通过互联网网上会诊，可及时快速鉴诊高危胸痛患者，做出相应处理，并半小时内转入上级医院。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糖尿病门诊</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eastAsia="zh-CN"/>
        </w:rPr>
        <w:t>与宝坻区人民医院</w:t>
      </w:r>
      <w:r>
        <w:rPr>
          <w:rFonts w:hint="eastAsia" w:ascii="微软雅黑" w:hAnsi="微软雅黑" w:eastAsia="微软雅黑" w:cs="微软雅黑"/>
          <w:color w:val="auto"/>
          <w:sz w:val="21"/>
          <w:szCs w:val="21"/>
          <w:highlight w:val="none"/>
        </w:rPr>
        <w:t>建立联动，定期来我院出诊，结合微医系统，对糖尿病病人实现监测血糖，调节血糖，筛查并发症，健康教育，上下级医院转诊的动态规范管理。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外科主要诊疗范围包括：急性创伤的紧急处理包括包扎、缝合及</w:t>
      </w:r>
      <w:r>
        <w:rPr>
          <w:rFonts w:hint="eastAsia" w:ascii="微软雅黑" w:hAnsi="微软雅黑" w:eastAsia="微软雅黑" w:cs="微软雅黑"/>
          <w:color w:val="auto"/>
          <w:sz w:val="21"/>
          <w:szCs w:val="21"/>
          <w:highlight w:val="none"/>
          <w:lang w:val="en-US" w:eastAsia="zh-CN"/>
        </w:rPr>
        <w:t>一般外科疾病的诊疗。</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w:t>
      </w:r>
      <w:r>
        <w:rPr>
          <w:rFonts w:hint="eastAsia" w:ascii="微软雅黑" w:hAnsi="微软雅黑" w:eastAsia="微软雅黑" w:cs="微软雅黑"/>
          <w:sz w:val="21"/>
          <w:szCs w:val="21"/>
          <w:lang w:eastAsia="zh-CN"/>
        </w:rPr>
        <w:t>产</w:t>
      </w:r>
      <w:r>
        <w:rPr>
          <w:rFonts w:hint="eastAsia" w:ascii="微软雅黑" w:hAnsi="微软雅黑" w:eastAsia="微软雅黑" w:cs="微软雅黑"/>
          <w:sz w:val="21"/>
          <w:szCs w:val="21"/>
        </w:rPr>
        <w:t>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w:t>
      </w:r>
      <w:r>
        <w:rPr>
          <w:rFonts w:hint="eastAsia" w:ascii="微软雅黑" w:hAnsi="微软雅黑" w:eastAsia="微软雅黑" w:cs="微软雅黑"/>
          <w:sz w:val="21"/>
          <w:szCs w:val="21"/>
          <w:lang w:eastAsia="zh-CN"/>
        </w:rPr>
        <w:t>周一至周日</w:t>
      </w:r>
      <w:r>
        <w:rPr>
          <w:rFonts w:hint="eastAsia" w:ascii="微软雅黑" w:hAnsi="微软雅黑" w:eastAsia="微软雅黑" w:cs="微软雅黑"/>
          <w:sz w:val="21"/>
          <w:szCs w:val="21"/>
        </w:rPr>
        <w:t>均可办理。咨询电话：</w:t>
      </w:r>
      <w:r>
        <w:rPr>
          <w:rFonts w:hint="eastAsia" w:ascii="微软雅黑" w:hAnsi="微软雅黑" w:eastAsia="微软雅黑" w:cs="微软雅黑"/>
          <w:sz w:val="21"/>
          <w:szCs w:val="21"/>
          <w:lang w:val="en-US" w:eastAsia="zh-CN"/>
        </w:rPr>
        <w:t>60371084</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60371084</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60371084</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产后42天检查及盆底肌筛查：产后42天恶露干净的产妇可来我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做检查及盆底肌筛查，盆底肌异常的产妇可于我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预约进一步的盆底肌修复治疗。咨询电话：</w:t>
      </w:r>
      <w:r>
        <w:rPr>
          <w:rFonts w:hint="eastAsia" w:ascii="微软雅黑" w:hAnsi="微软雅黑" w:eastAsia="微软雅黑" w:cs="微软雅黑"/>
          <w:sz w:val="21"/>
          <w:szCs w:val="21"/>
          <w:lang w:val="en-US" w:eastAsia="zh-CN"/>
        </w:rPr>
        <w:t>60371084</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开设中医康复治疗，目前我中心主要开展脑出血、脑梗死、颅脑损伤等神经系统疾病后遗症的康复。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开设耳穴针、小针刀、三九贴三伏贴、针灸、推拿等治疗。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工作时间：</w:t>
      </w:r>
      <w:r>
        <w:rPr>
          <w:rFonts w:hint="eastAsia" w:ascii="微软雅黑" w:hAnsi="微软雅黑" w:eastAsia="微软雅黑" w:cs="微软雅黑"/>
          <w:sz w:val="21"/>
          <w:szCs w:val="21"/>
          <w:highlight w:val="none"/>
          <w:lang w:val="en-US" w:eastAsia="zh-CN"/>
        </w:rPr>
        <w:t>7:45</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val="en-US" w:eastAsia="zh-CN"/>
        </w:rPr>
        <w:t>17:00，全科诊室可提供24小时诊疗服务。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w:t>
      </w:r>
      <w:r>
        <w:rPr>
          <w:rFonts w:hint="eastAsia" w:ascii="微软雅黑" w:hAnsi="微软雅黑" w:eastAsia="微软雅黑" w:cs="微软雅黑"/>
          <w:sz w:val="21"/>
          <w:szCs w:val="21"/>
          <w:lang w:eastAsia="zh-CN"/>
        </w:rPr>
        <w:t>家庭医生</w:t>
      </w:r>
      <w:r>
        <w:rPr>
          <w:rFonts w:hint="eastAsia" w:ascii="微软雅黑" w:hAnsi="微软雅黑" w:eastAsia="微软雅黑" w:cs="微软雅黑"/>
          <w:sz w:val="21"/>
          <w:szCs w:val="21"/>
        </w:rPr>
        <w:t>预约出诊时间，由家庭医生开具相关费用。出诊项目包括：导尿术、外科换药、胃管置管术、静脉</w:t>
      </w:r>
      <w:r>
        <w:rPr>
          <w:rFonts w:hint="eastAsia" w:ascii="微软雅黑" w:hAnsi="微软雅黑" w:eastAsia="微软雅黑" w:cs="微软雅黑"/>
          <w:sz w:val="21"/>
          <w:szCs w:val="21"/>
          <w:lang w:eastAsia="zh-CN"/>
        </w:rPr>
        <w:t>输液、</w:t>
      </w:r>
      <w:r>
        <w:rPr>
          <w:rFonts w:hint="eastAsia" w:ascii="微软雅黑" w:hAnsi="微软雅黑" w:eastAsia="微软雅黑" w:cs="微软雅黑"/>
          <w:sz w:val="21"/>
          <w:szCs w:val="21"/>
        </w:rPr>
        <w:t>采血</w:t>
      </w:r>
      <w:r>
        <w:rPr>
          <w:rFonts w:hint="eastAsia" w:ascii="微软雅黑" w:hAnsi="微软雅黑" w:eastAsia="微软雅黑" w:cs="微软雅黑"/>
          <w:sz w:val="21"/>
          <w:szCs w:val="21"/>
          <w:lang w:eastAsia="zh-CN"/>
        </w:rPr>
        <w:t>等</w:t>
      </w:r>
      <w:r>
        <w:rPr>
          <w:rFonts w:hint="eastAsia" w:ascii="微软雅黑" w:hAnsi="微软雅黑" w:eastAsia="微软雅黑" w:cs="微软雅黑"/>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val="en-US" w:eastAsia="zh-CN"/>
        </w:rPr>
        <w:t>宝坻区人民医院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潮阳卫生院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w:t>
                              </w:r>
                              <w:r>
                                <w:rPr>
                                  <w:rFonts w:hint="eastAsia" w:asciiTheme="minorEastAsia" w:hAnsiTheme="minorEastAsia"/>
                                  <w:b/>
                                  <w:color w:val="FF0000"/>
                                  <w:szCs w:val="21"/>
                                </w:rPr>
                                <w:t>双向转诊接待处（门诊大厅一楼）</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w:t>
                              </w:r>
                              <w:r>
                                <w:rPr>
                                  <w:rFonts w:hint="eastAsia" w:asciiTheme="minorEastAsia" w:hAnsiTheme="minorEastAsia"/>
                                  <w:szCs w:val="21"/>
                                </w:rPr>
                                <w:t>医院就诊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hint="default" w:eastAsia="宋体" w:asciiTheme="minorEastAsia" w:hAnsiTheme="minorEastAsia"/>
                                    <w:szCs w:val="21"/>
                                    <w:lang w:val="en-US" w:eastAsia="zh-CN"/>
                                  </w:rPr>
                                </w:pPr>
                                <w:r>
                                  <w:rPr>
                                    <w:rFonts w:hint="eastAsia" w:asciiTheme="minorEastAsia" w:hAnsiTheme="minorEastAsia"/>
                                    <w:szCs w:val="21"/>
                                    <w:lang w:val="en-US" w:eastAsia="zh-CN"/>
                                  </w:rPr>
                                  <w:t>潮阳卫生院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w:t>
                        </w:r>
                        <w:r>
                          <w:rPr>
                            <w:rFonts w:hint="eastAsia" w:asciiTheme="minorEastAsia" w:hAnsiTheme="minorEastAsia"/>
                            <w:b/>
                            <w:color w:val="FF0000"/>
                            <w:szCs w:val="21"/>
                          </w:rPr>
                          <w:t>双向转诊接待处（门诊大厅一楼）</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w:t>
                        </w:r>
                        <w:r>
                          <w:rPr>
                            <w:rFonts w:hint="eastAsia" w:asciiTheme="minorEastAsia" w:hAnsiTheme="minorEastAsia"/>
                            <w:szCs w:val="21"/>
                          </w:rPr>
                          <w:t>医院就诊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hint="default" w:eastAsia="宋体" w:asciiTheme="minorEastAsia" w:hAnsiTheme="minorEastAsia"/>
                              <w:szCs w:val="21"/>
                              <w:lang w:val="en-US" w:eastAsia="zh-CN"/>
                            </w:rPr>
                          </w:pPr>
                          <w:r>
                            <w:rPr>
                              <w:rFonts w:hint="eastAsia" w:asciiTheme="minorEastAsia" w:hAnsiTheme="minorEastAsia"/>
                              <w:szCs w:val="21"/>
                              <w:lang w:val="en-US" w:eastAsia="zh-CN"/>
                            </w:rPr>
                            <w:t>潮阳卫生院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bookmarkStart w:id="1" w:name="_GoBack"/>
      <w:bookmarkEnd w:id="1"/>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w:t>
      </w:r>
      <w:r>
        <w:rPr>
          <w:rFonts w:hint="eastAsia" w:ascii="微软雅黑" w:hAnsi="微软雅黑" w:eastAsia="微软雅黑" w:cs="微软雅黑"/>
          <w:sz w:val="21"/>
          <w:szCs w:val="21"/>
          <w:lang w:eastAsia="zh-CN"/>
        </w:rPr>
        <w:t>周一至周日</w:t>
      </w:r>
      <w:r>
        <w:rPr>
          <w:rFonts w:hint="eastAsia" w:ascii="微软雅黑" w:hAnsi="微软雅黑" w:eastAsia="微软雅黑" w:cs="微软雅黑"/>
          <w:sz w:val="21"/>
          <w:szCs w:val="21"/>
          <w:highlight w:val="none"/>
          <w:lang w:val="en-US" w:eastAsia="zh-CN"/>
        </w:rPr>
        <w:t>7:45</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val="en-US" w:eastAsia="zh-CN"/>
        </w:rPr>
        <w:t>17:00，全科诊室可提供24小时诊疗服务。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自行导航前往地址：天津市宝坻区潮阳卫生院</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 w:name="KSO_WPS_MARK_KEY" w:val="b5edfd72-5f7a-4cc8-9fff-23b2388aacf6"/>
  </w:docVars>
  <w:rsids>
    <w:rsidRoot w:val="4E8E0D5D"/>
    <w:rsid w:val="003357D8"/>
    <w:rsid w:val="00494FFB"/>
    <w:rsid w:val="004F5239"/>
    <w:rsid w:val="00615EA1"/>
    <w:rsid w:val="00BE1DDE"/>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0E370E9"/>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841B5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050A3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8</Pages>
  <Words>2714</Words>
  <Characters>2850</Characters>
  <Lines>0</Lines>
  <Paragraphs>0</Paragraphs>
  <TotalTime>1</TotalTime>
  <ScaleCrop>false</ScaleCrop>
  <LinksUpToDate>false</LinksUpToDate>
  <CharactersWithSpaces>2869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2024-08-26T01:46:00Z</cp:lastPrinted>
  <dcterms:modified xsi:type="dcterms:W3CDTF">2024-09-16T00:32:36Z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183A135BCB804C00AD8C2C84BB19255C_13</vt:lpwstr>
  </property>
</Properties>
</file>