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关于《宝坻城区河道专项规划（征求意见稿）》</w:t>
      </w:r>
    </w:p>
    <w:p>
      <w:pPr>
        <w:jc w:val="center"/>
        <w:rPr>
          <w:rFonts w:ascii="方正小标宋简体" w:eastAsia="方正小标宋简体"/>
          <w:sz w:val="36"/>
          <w:szCs w:val="36"/>
        </w:rPr>
      </w:pPr>
      <w:r>
        <w:rPr>
          <w:rFonts w:hint="eastAsia" w:ascii="方正小标宋简体" w:eastAsia="方正小标宋简体"/>
          <w:sz w:val="36"/>
          <w:szCs w:val="36"/>
        </w:rPr>
        <w:t>的背景介绍</w:t>
      </w:r>
    </w:p>
    <w:p>
      <w:pPr>
        <w:ind w:firstLine="640" w:firstLineChars="200"/>
        <w:jc w:val="left"/>
        <w:rPr>
          <w:rFonts w:ascii="仿宋_GB2312" w:eastAsia="仿宋_GB2312"/>
          <w:sz w:val="32"/>
          <w:szCs w:val="32"/>
        </w:rPr>
      </w:pPr>
      <w:r>
        <w:rPr>
          <w:rFonts w:hint="eastAsia" w:ascii="仿宋_GB2312" w:eastAsia="仿宋_GB2312"/>
          <w:sz w:val="32"/>
          <w:szCs w:val="32"/>
        </w:rPr>
        <w:t>根据《宝坻区国土空间规划编制工作方案》（宝坻政发[2019]20号）文件要求，天津市规划和自然资源局宝坻分局与区水务局共同组织编制了《宝坻城区河道专项规划》（以下简称“规划”），该规划科学构建、布局合理、功能完善、工程优化、保障有力的河渠水系连通体系，加快重点河渠治理，加强水循环效果，改善区域水生态环境。</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编制背景</w:t>
      </w:r>
    </w:p>
    <w:p>
      <w:pPr>
        <w:ind w:firstLine="640" w:firstLineChars="200"/>
        <w:jc w:val="left"/>
        <w:rPr>
          <w:rFonts w:ascii="仿宋_GB2312" w:eastAsia="仿宋_GB2312"/>
          <w:sz w:val="32"/>
          <w:szCs w:val="32"/>
        </w:rPr>
      </w:pPr>
      <w:r>
        <w:rPr>
          <w:rFonts w:hint="eastAsia" w:ascii="仿宋_GB2312" w:eastAsia="仿宋_GB2312"/>
          <w:sz w:val="32"/>
          <w:szCs w:val="32"/>
        </w:rPr>
        <w:t>2019年12月25日天津市宝坻区人民政府印发《宝坻区国土空间规划编制工作方案》（宝坻政发[2019]20号）文件，明确要求各部门针对宝坻发展需求同步开展专项规划，纳入宝坻区国土空间规划，为满足城市发展需求，根据上位规划控制红线，完成了与排水、交通、市政等协调的水系规划设计。</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编制范围</w:t>
      </w:r>
    </w:p>
    <w:p>
      <w:pPr>
        <w:ind w:firstLine="640" w:firstLineChars="200"/>
        <w:jc w:val="left"/>
        <w:rPr>
          <w:rFonts w:ascii="仿宋_GB2312" w:eastAsia="仿宋_GB2312"/>
          <w:sz w:val="32"/>
          <w:szCs w:val="32"/>
        </w:rPr>
      </w:pPr>
      <w:r>
        <w:rPr>
          <w:rFonts w:hint="eastAsia" w:ascii="仿宋_GB2312" w:eastAsia="仿宋_GB2312"/>
          <w:sz w:val="32"/>
          <w:szCs w:val="32"/>
        </w:rPr>
        <w:t>规划四至范围为：西起新仓路，东至引滦输水明渠，北起京哈高速防护绿带南边界，南至潮南产业园。涉及宝坻新城、经济开发区、京津中关村科技城、物流园、高铁站前区、潮阳工业园（马家店工业区）6个片区，总面积约86平方公里。</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规划期限</w:t>
      </w:r>
    </w:p>
    <w:p>
      <w:pPr>
        <w:ind w:firstLine="640" w:firstLineChars="200"/>
        <w:jc w:val="left"/>
        <w:rPr>
          <w:rFonts w:ascii="仿宋_GB2312" w:eastAsia="仿宋_GB2312"/>
          <w:sz w:val="32"/>
          <w:szCs w:val="32"/>
        </w:rPr>
      </w:pPr>
      <w:r>
        <w:rPr>
          <w:rFonts w:hint="eastAsia" w:ascii="仿宋_GB2312" w:eastAsia="仿宋_GB2312"/>
          <w:sz w:val="32"/>
          <w:szCs w:val="32"/>
        </w:rPr>
        <w:t>2021年—2035年</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编制成果</w:t>
      </w:r>
    </w:p>
    <w:p>
      <w:pPr>
        <w:ind w:firstLine="640" w:firstLineChars="200"/>
        <w:jc w:val="left"/>
        <w:rPr>
          <w:rFonts w:ascii="仿宋_GB2312" w:eastAsia="仿宋_GB2312"/>
          <w:sz w:val="32"/>
          <w:szCs w:val="32"/>
        </w:rPr>
      </w:pPr>
      <w:r>
        <w:rPr>
          <w:rFonts w:hint="eastAsia" w:ascii="仿宋_GB2312" w:eastAsia="仿宋_GB2312"/>
          <w:sz w:val="32"/>
          <w:szCs w:val="32"/>
        </w:rPr>
        <w:t xml:space="preserve">根据宝坻城区自然环境条件和城市规模等因素，确定城市防洪标准和主要河道治理标准；结合城市功能布局确定河道功能定位；划定河湖水系、湿地的蓝线，提出河道两侧绿化隔离带宽度；落实河道补水水源，布置河道截污设施，提出与周边交通设施、市政设施平面、竖向关系。最终编制区域范围内水系专项规划报告。通过“蓄水、调水、活水、清水”的过程，打造“生态宜居宝坻”。具体表现为以下四方面：“河畅”—沟通区域断头河渠，达到河系连通；“水清”—加强水循环效果，改善区域水质；“岸绿”—构建亲水绿廊，提升区域生态环境；“宜居”—打造绿色、安全、环境优美的居住空间。 </w:t>
      </w:r>
    </w:p>
    <w:p>
      <w:pPr>
        <w:ind w:firstLine="640" w:firstLineChars="200"/>
        <w:jc w:val="left"/>
        <w:rPr>
          <w:rFonts w:ascii="仿宋_GB2312" w:eastAsia="仿宋_GB2312"/>
          <w:sz w:val="32"/>
          <w:szCs w:val="32"/>
        </w:rPr>
      </w:pPr>
      <w:r>
        <w:rPr>
          <w:rFonts w:hint="eastAsia" w:ascii="仿宋_GB2312" w:eastAsia="仿宋_GB2312"/>
          <w:sz w:val="32"/>
          <w:szCs w:val="32"/>
        </w:rPr>
        <w:t>本次6个规划片区涉及河渠51条，总河长123km。大河：潮白新河、泃河；骨干：窝头河、百里河、鲍邱河、小套排干；引水：引滦明渠；以潮白新河、泃河作为主要排涝出路，结合现有骨干渠系及排涝工程，划分排涝分区。项目区涉及6个排涝分区：①泃河白龙港片区②潮北大套片区③鲍邱河片区④潮北胡各庄片区⑤潮南小套片区⑥潮南菜芽庄片区。</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保障措施</w:t>
      </w:r>
    </w:p>
    <w:p>
      <w:pPr>
        <w:ind w:firstLine="640" w:firstLineChars="200"/>
        <w:jc w:val="left"/>
        <w:rPr>
          <w:rFonts w:ascii="仿宋_GB2312" w:eastAsia="仿宋_GB2312"/>
          <w:sz w:val="32"/>
          <w:szCs w:val="32"/>
        </w:rPr>
      </w:pPr>
      <w:r>
        <w:rPr>
          <w:rFonts w:hint="eastAsia" w:ascii="仿宋_GB2312" w:eastAsia="仿宋_GB2312"/>
          <w:sz w:val="32"/>
          <w:szCs w:val="32"/>
        </w:rPr>
        <w:t>（一）严格落实河道保护责任制。各级人民政府要对所辖河道的保护与利用承担主体责任，切实加强组织领导，统筹协调作用。</w:t>
      </w:r>
    </w:p>
    <w:p>
      <w:pPr>
        <w:ind w:firstLine="640" w:firstLineChars="200"/>
        <w:jc w:val="left"/>
        <w:rPr>
          <w:rFonts w:ascii="仿宋_GB2312" w:eastAsia="仿宋_GB2312"/>
          <w:sz w:val="32"/>
          <w:szCs w:val="32"/>
        </w:rPr>
      </w:pPr>
      <w:r>
        <w:rPr>
          <w:rFonts w:hint="eastAsia" w:ascii="仿宋_GB2312" w:eastAsia="仿宋_GB2312"/>
          <w:sz w:val="32"/>
          <w:szCs w:val="32"/>
        </w:rPr>
        <w:t>（二）强化规划约束指导作用。非因法定事由，不得对规划内容进行更改变动，各级水务行政主管部门要严格按照规划确定的河道功能分区和管控要求，严把审批关，做到源头严防、过程严管。</w:t>
      </w:r>
    </w:p>
    <w:p>
      <w:pPr>
        <w:ind w:firstLine="640" w:firstLineChars="200"/>
        <w:jc w:val="left"/>
        <w:rPr>
          <w:rFonts w:ascii="仿宋_GB2312" w:eastAsia="仿宋_GB2312"/>
          <w:sz w:val="32"/>
          <w:szCs w:val="32"/>
        </w:rPr>
      </w:pPr>
      <w:r>
        <w:rPr>
          <w:rFonts w:hint="eastAsia" w:ascii="仿宋_GB2312" w:eastAsia="仿宋_GB2312"/>
          <w:sz w:val="32"/>
          <w:szCs w:val="32"/>
        </w:rPr>
        <w:t>（三）实行定期评估和更新机制。根据实际情况及新标准、新要求对规划内容进行论证，应适时调整，并严格管理，实行动态监管，以适应新形势变化和要求。</w:t>
      </w:r>
    </w:p>
    <w:p>
      <w:pPr>
        <w:ind w:firstLine="640" w:firstLineChars="200"/>
        <w:jc w:val="left"/>
        <w:rPr>
          <w:rFonts w:ascii="仿宋_GB2312" w:eastAsia="仿宋_GB2312"/>
          <w:sz w:val="32"/>
          <w:szCs w:val="32"/>
        </w:rPr>
      </w:pPr>
      <w:bookmarkStart w:id="0" w:name="_GoBack"/>
      <w:bookmarkEnd w:id="0"/>
      <w:r>
        <w:rPr>
          <w:rFonts w:hint="eastAsia" w:ascii="仿宋_GB2312" w:eastAsia="仿宋_GB2312"/>
          <w:sz w:val="32"/>
          <w:szCs w:val="32"/>
        </w:rPr>
        <w:t>（四）加强河道日常监督管理。地方各级人民政府和水务行政主管部门要加强河湖水域岸线管理保护，严格水域岸线等水生态空间管控，落实规划岸线分区管控要求，强化岸线保护和节约集约利用。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FD096"/>
    <w:multiLevelType w:val="singleLevel"/>
    <w:tmpl w:val="87CFD0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D6766"/>
    <w:rsid w:val="00215378"/>
    <w:rsid w:val="00B15045"/>
    <w:rsid w:val="00B5270E"/>
    <w:rsid w:val="00E3187D"/>
    <w:rsid w:val="161D6766"/>
    <w:rsid w:val="648B6741"/>
    <w:rsid w:val="72F2191E"/>
    <w:rsid w:val="79E2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179</Words>
  <Characters>1025</Characters>
  <Lines>8</Lines>
  <Paragraphs>2</Paragraphs>
  <TotalTime>166</TotalTime>
  <ScaleCrop>false</ScaleCrop>
  <LinksUpToDate>false</LinksUpToDate>
  <CharactersWithSpaces>1202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2022-10-10T01:44:00Z</dcterms:created>
  <dc:creator>Administrator</dc:creator>
  <cp:lastModifiedBy>Administrator</cp:lastModifiedBy>
  <cp:lastPrinted>2022-10-12T01:46:37Z</cp:lastPrinted>
  <dcterms:modified xsi:type="dcterms:W3CDTF">2022-10-12T01:49:07Z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