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line="285" w:lineRule="atLeast"/>
        <w:ind w:left="0" w:firstLine="0"/>
        <w:rPr>
          <w:rFonts w:ascii="sans-serif" w:hAnsi="sans-serif" w:eastAsia="sans-serif" w:cs="sans-serif"/>
          <w:i w:val="0"/>
          <w:iCs w:val="0"/>
          <w:caps w:val="0"/>
          <w:color w:val="000000"/>
          <w:spacing w:val="0"/>
          <w:sz w:val="32"/>
          <w:szCs w:val="32"/>
        </w:rPr>
      </w:pPr>
      <w:r>
        <w:rPr>
          <w:rFonts w:ascii="仿宋" w:hAnsi="仿宋" w:eastAsia="仿宋" w:cs="仿宋"/>
          <w:i w:val="0"/>
          <w:iCs w:val="0"/>
          <w:caps w:val="0"/>
          <w:color w:val="000000"/>
          <w:spacing w:val="0"/>
          <w:sz w:val="32"/>
          <w:szCs w:val="32"/>
        </w:rPr>
        <w:t>各街道办事处，各镇人民政府，区政府各部门：</w:t>
      </w:r>
    </w:p>
    <w:p>
      <w:pPr>
        <w:pStyle w:val="2"/>
        <w:keepNext w:val="0"/>
        <w:keepLines w:val="0"/>
        <w:widowControl/>
        <w:suppressLineNumbers w:val="0"/>
        <w:spacing w:line="300" w:lineRule="atLeast"/>
        <w:ind w:left="0" w:firstLine="323"/>
        <w:rPr>
          <w:rFonts w:hint="default" w:ascii="sans-serif" w:hAnsi="sans-serif" w:eastAsia="sans-serif" w:cs="sans-serif"/>
          <w:i w:val="0"/>
          <w:iCs w:val="0"/>
          <w:caps w:val="0"/>
          <w:color w:val="000000"/>
          <w:spacing w:val="0"/>
          <w:sz w:val="32"/>
          <w:szCs w:val="32"/>
        </w:rPr>
      </w:pPr>
      <w:r>
        <w:rPr>
          <w:rFonts w:hint="eastAsia" w:ascii="仿宋" w:hAnsi="仿宋" w:eastAsia="仿宋" w:cs="仿宋"/>
          <w:i w:val="0"/>
          <w:iCs w:val="0"/>
          <w:caps w:val="0"/>
          <w:color w:val="000000"/>
          <w:spacing w:val="0"/>
          <w:sz w:val="32"/>
          <w:szCs w:val="32"/>
        </w:rPr>
        <w:t>《宝坻区新型基础设施建设三年行动方案（2021—2023年）》已经区政府第150次常务会议审议通过，现印发给你们，请遵照执行。</w:t>
      </w:r>
      <w:bookmarkStart w:id="0" w:name="_GoBack"/>
      <w:bookmarkEnd w:id="0"/>
    </w:p>
    <w:p>
      <w:pPr>
        <w:pStyle w:val="2"/>
        <w:keepNext w:val="0"/>
        <w:keepLines w:val="0"/>
        <w:widowControl/>
        <w:suppressLineNumbers w:val="0"/>
        <w:spacing w:line="300" w:lineRule="atLeast"/>
        <w:ind w:left="0" w:firstLine="323"/>
        <w:rPr>
          <w:rFonts w:hint="default" w:ascii="sans-serif" w:hAnsi="sans-serif" w:eastAsia="sans-serif" w:cs="sans-serif"/>
          <w:i w:val="0"/>
          <w:iCs w:val="0"/>
          <w:caps w:val="0"/>
          <w:color w:val="000000"/>
          <w:spacing w:val="0"/>
          <w:sz w:val="32"/>
          <w:szCs w:val="32"/>
        </w:rPr>
      </w:pPr>
      <w:r>
        <w:rPr>
          <w:rFonts w:hint="eastAsia" w:ascii="仿宋" w:hAnsi="仿宋" w:eastAsia="仿宋" w:cs="仿宋"/>
          <w:i w:val="0"/>
          <w:iCs w:val="0"/>
          <w:caps w:val="0"/>
          <w:color w:val="000000"/>
          <w:spacing w:val="0"/>
          <w:sz w:val="32"/>
          <w:szCs w:val="32"/>
        </w:rPr>
        <w:t>  </w:t>
      </w:r>
    </w:p>
    <w:p>
      <w:pPr>
        <w:pStyle w:val="2"/>
        <w:keepNext w:val="0"/>
        <w:keepLines w:val="0"/>
        <w:widowControl/>
        <w:suppressLineNumbers w:val="0"/>
        <w:spacing w:line="300" w:lineRule="atLeast"/>
        <w:ind w:left="0" w:firstLine="0"/>
        <w:jc w:val="right"/>
        <w:rPr>
          <w:rFonts w:hint="default" w:ascii="sans-serif" w:hAnsi="sans-serif" w:eastAsia="sans-serif" w:cs="sans-serif"/>
          <w:i w:val="0"/>
          <w:iCs w:val="0"/>
          <w:caps w:val="0"/>
          <w:color w:val="000000"/>
          <w:spacing w:val="0"/>
          <w:sz w:val="32"/>
          <w:szCs w:val="32"/>
        </w:rPr>
      </w:pPr>
      <w:r>
        <w:rPr>
          <w:rFonts w:hint="eastAsia" w:ascii="仿宋" w:hAnsi="仿宋" w:eastAsia="仿宋" w:cs="仿宋"/>
          <w:i w:val="0"/>
          <w:iCs w:val="0"/>
          <w:caps w:val="0"/>
          <w:color w:val="000000"/>
          <w:spacing w:val="0"/>
          <w:sz w:val="32"/>
          <w:szCs w:val="32"/>
        </w:rPr>
        <w:t>天津市宝坻区人民政府办公室</w:t>
      </w:r>
    </w:p>
    <w:p>
      <w:pPr>
        <w:pStyle w:val="2"/>
        <w:keepNext w:val="0"/>
        <w:keepLines w:val="0"/>
        <w:widowControl/>
        <w:suppressLineNumbers w:val="0"/>
        <w:spacing w:line="300" w:lineRule="atLeast"/>
        <w:ind w:left="0" w:firstLine="0"/>
        <w:jc w:val="right"/>
        <w:rPr>
          <w:rFonts w:hint="default" w:ascii="sans-serif" w:hAnsi="sans-serif" w:eastAsia="sans-serif" w:cs="sans-serif"/>
          <w:i w:val="0"/>
          <w:iCs w:val="0"/>
          <w:caps w:val="0"/>
          <w:color w:val="000000"/>
          <w:spacing w:val="0"/>
          <w:sz w:val="32"/>
          <w:szCs w:val="32"/>
        </w:rPr>
      </w:pPr>
      <w:r>
        <w:rPr>
          <w:rFonts w:hint="eastAsia" w:ascii="仿宋" w:hAnsi="仿宋" w:eastAsia="仿宋" w:cs="仿宋"/>
          <w:i w:val="0"/>
          <w:iCs w:val="0"/>
          <w:caps w:val="0"/>
          <w:color w:val="000000"/>
          <w:spacing w:val="0"/>
          <w:sz w:val="32"/>
          <w:szCs w:val="32"/>
        </w:rPr>
        <w:t>2021年11月16日</w:t>
      </w:r>
    </w:p>
    <w:p>
      <w:pPr>
        <w:pStyle w:val="2"/>
        <w:keepNext w:val="0"/>
        <w:keepLines w:val="0"/>
        <w:widowControl/>
        <w:suppressLineNumbers w:val="0"/>
        <w:spacing w:line="233" w:lineRule="atLeast"/>
        <w:ind w:left="0" w:right="323" w:firstLine="323"/>
        <w:rPr>
          <w:rFonts w:hint="default" w:ascii="sans-serif" w:hAnsi="sans-serif" w:eastAsia="sans-serif" w:cs="sans-serif"/>
          <w:i w:val="0"/>
          <w:iCs w:val="0"/>
          <w:caps w:val="0"/>
          <w:color w:val="000000"/>
          <w:spacing w:val="0"/>
          <w:sz w:val="32"/>
          <w:szCs w:val="32"/>
        </w:rPr>
      </w:pPr>
      <w:r>
        <w:rPr>
          <w:rFonts w:hint="eastAsia" w:ascii="仿宋" w:hAnsi="仿宋" w:eastAsia="仿宋" w:cs="仿宋"/>
          <w:i w:val="0"/>
          <w:iCs w:val="0"/>
          <w:caps w:val="0"/>
          <w:color w:val="000000"/>
          <w:spacing w:val="0"/>
          <w:sz w:val="32"/>
          <w:szCs w:val="32"/>
        </w:rPr>
        <w:t>（此件主动公开）</w:t>
      </w:r>
    </w:p>
    <w:p>
      <w:pPr>
        <w:pStyle w:val="2"/>
        <w:keepNext w:val="0"/>
        <w:keepLines w:val="0"/>
        <w:widowControl/>
        <w:suppressLineNumbers w:val="0"/>
        <w:spacing w:line="315" w:lineRule="atLeast"/>
        <w:ind w:left="0" w:firstLine="0"/>
        <w:rPr>
          <w:rFonts w:hint="default" w:ascii="sans-serif" w:hAnsi="sans-serif" w:eastAsia="sans-serif" w:cs="sans-serif"/>
          <w:i w:val="0"/>
          <w:iCs w:val="0"/>
          <w:caps w:val="0"/>
          <w:color w:val="000000"/>
          <w:spacing w:val="0"/>
          <w:sz w:val="32"/>
          <w:szCs w:val="32"/>
        </w:rPr>
      </w:pPr>
    </w:p>
    <w:p>
      <w:pPr>
        <w:pStyle w:val="2"/>
        <w:keepNext w:val="0"/>
        <w:keepLines w:val="0"/>
        <w:widowControl/>
        <w:suppressLineNumbers w:val="0"/>
        <w:spacing w:line="315" w:lineRule="atLeast"/>
        <w:ind w:left="0" w:firstLine="0"/>
        <w:rPr>
          <w:rFonts w:hint="default" w:ascii="sans-serif" w:hAnsi="sans-serif" w:eastAsia="sans-serif" w:cs="sans-serif"/>
          <w:i w:val="0"/>
          <w:iCs w:val="0"/>
          <w:caps w:val="0"/>
          <w:color w:val="000000"/>
          <w:spacing w:val="0"/>
          <w:sz w:val="32"/>
          <w:szCs w:val="32"/>
        </w:rPr>
      </w:pPr>
      <w:r>
        <w:rPr>
          <w:rFonts w:hint="default" w:ascii="sans-serif" w:hAnsi="sans-serif" w:eastAsia="sans-serif" w:cs="sans-serif"/>
          <w:i w:val="0"/>
          <w:iCs w:val="0"/>
          <w:caps w:val="0"/>
          <w:color w:val="000000"/>
          <w:spacing w:val="0"/>
          <w:sz w:val="32"/>
          <w:szCs w:val="32"/>
        </w:rPr>
        <w:t>  </w:t>
      </w:r>
    </w:p>
    <w:p>
      <w:pPr>
        <w:pStyle w:val="2"/>
        <w:keepNext w:val="0"/>
        <w:keepLines w:val="0"/>
        <w:widowControl/>
        <w:suppressLineNumbers w:val="0"/>
        <w:spacing w:line="300" w:lineRule="atLeast"/>
        <w:ind w:left="0" w:firstLine="0"/>
        <w:jc w:val="center"/>
        <w:rPr>
          <w:rFonts w:hint="default" w:ascii="sans-serif" w:hAnsi="sans-serif" w:eastAsia="sans-serif" w:cs="sans-serif"/>
          <w:i w:val="0"/>
          <w:iCs w:val="0"/>
          <w:caps w:val="0"/>
          <w:color w:val="000000"/>
          <w:spacing w:val="0"/>
          <w:sz w:val="32"/>
          <w:szCs w:val="32"/>
        </w:rPr>
      </w:pPr>
      <w:r>
        <w:rPr>
          <w:rFonts w:ascii="方正小标宋简体" w:hAnsi="方正小标宋简体" w:eastAsia="方正小标宋简体" w:cs="方正小标宋简体"/>
          <w:i w:val="0"/>
          <w:iCs w:val="0"/>
          <w:caps w:val="0"/>
          <w:color w:val="000000"/>
          <w:spacing w:val="0"/>
          <w:sz w:val="32"/>
          <w:szCs w:val="32"/>
        </w:rPr>
        <w:t>天津市宝坻区人民政府办公室关于</w:t>
      </w:r>
    </w:p>
    <w:p>
      <w:pPr>
        <w:pStyle w:val="2"/>
        <w:keepNext w:val="0"/>
        <w:keepLines w:val="0"/>
        <w:widowControl/>
        <w:suppressLineNumbers w:val="0"/>
        <w:spacing w:line="300" w:lineRule="atLeast"/>
        <w:ind w:left="0" w:firstLine="0"/>
        <w:jc w:val="center"/>
        <w:rPr>
          <w:rFonts w:hint="default" w:ascii="sans-serif" w:hAnsi="sans-serif" w:eastAsia="sans-serif" w:cs="sans-serif"/>
          <w:i w:val="0"/>
          <w:iCs w:val="0"/>
          <w:caps w:val="0"/>
          <w:color w:val="000000"/>
          <w:spacing w:val="0"/>
          <w:sz w:val="32"/>
          <w:szCs w:val="32"/>
        </w:rPr>
      </w:pPr>
      <w:r>
        <w:rPr>
          <w:rFonts w:hint="eastAsia" w:ascii="方正小标宋简体" w:hAnsi="方正小标宋简体" w:eastAsia="方正小标宋简体" w:cs="方正小标宋简体"/>
          <w:i w:val="0"/>
          <w:iCs w:val="0"/>
          <w:caps w:val="0"/>
          <w:color w:val="000000"/>
          <w:spacing w:val="0"/>
          <w:sz w:val="32"/>
          <w:szCs w:val="32"/>
        </w:rPr>
        <w:t>印发宝坻区新型基础设施建设三年行动方案</w:t>
      </w:r>
    </w:p>
    <w:p>
      <w:pPr>
        <w:pStyle w:val="2"/>
        <w:keepNext w:val="0"/>
        <w:keepLines w:val="0"/>
        <w:widowControl/>
        <w:suppressLineNumbers w:val="0"/>
        <w:spacing w:line="300" w:lineRule="atLeast"/>
        <w:ind w:left="0" w:firstLine="0"/>
        <w:jc w:val="center"/>
        <w:rPr>
          <w:rFonts w:hint="default" w:ascii="sans-serif" w:hAnsi="sans-serif" w:eastAsia="sans-serif" w:cs="sans-serif"/>
          <w:i w:val="0"/>
          <w:iCs w:val="0"/>
          <w:caps w:val="0"/>
          <w:color w:val="000000"/>
          <w:spacing w:val="0"/>
          <w:sz w:val="32"/>
          <w:szCs w:val="32"/>
        </w:rPr>
      </w:pPr>
      <w:r>
        <w:rPr>
          <w:rFonts w:hint="eastAsia" w:ascii="方正小标宋简体" w:hAnsi="方正小标宋简体" w:eastAsia="方正小标宋简体" w:cs="方正小标宋简体"/>
          <w:i w:val="0"/>
          <w:iCs w:val="0"/>
          <w:caps w:val="0"/>
          <w:color w:val="000000"/>
          <w:spacing w:val="0"/>
          <w:sz w:val="32"/>
          <w:szCs w:val="32"/>
        </w:rPr>
        <w:t>（</w:t>
      </w:r>
      <w:r>
        <w:rPr>
          <w:rFonts w:hint="default" w:ascii="Times New Roman" w:hAnsi="Times New Roman" w:eastAsia="sans-serif" w:cs="Times New Roman"/>
          <w:i w:val="0"/>
          <w:iCs w:val="0"/>
          <w:caps w:val="0"/>
          <w:color w:val="000000"/>
          <w:spacing w:val="0"/>
          <w:sz w:val="32"/>
          <w:szCs w:val="32"/>
        </w:rPr>
        <w:t>2021</w:t>
      </w:r>
      <w:r>
        <w:rPr>
          <w:rFonts w:hint="eastAsia" w:ascii="方正小标宋简体" w:hAnsi="方正小标宋简体" w:eastAsia="方正小标宋简体" w:cs="方正小标宋简体"/>
          <w:i w:val="0"/>
          <w:iCs w:val="0"/>
          <w:caps w:val="0"/>
          <w:color w:val="000000"/>
          <w:spacing w:val="0"/>
          <w:sz w:val="32"/>
          <w:szCs w:val="32"/>
        </w:rPr>
        <w:t>—</w:t>
      </w:r>
      <w:r>
        <w:rPr>
          <w:rFonts w:hint="default" w:ascii="Times New Roman" w:hAnsi="Times New Roman" w:eastAsia="sans-serif" w:cs="Times New Roman"/>
          <w:i w:val="0"/>
          <w:iCs w:val="0"/>
          <w:caps w:val="0"/>
          <w:color w:val="000000"/>
          <w:spacing w:val="0"/>
          <w:sz w:val="32"/>
          <w:szCs w:val="32"/>
        </w:rPr>
        <w:t>2023</w:t>
      </w:r>
      <w:r>
        <w:rPr>
          <w:rFonts w:hint="eastAsia" w:ascii="方正小标宋简体" w:hAnsi="方正小标宋简体" w:eastAsia="方正小标宋简体" w:cs="方正小标宋简体"/>
          <w:i w:val="0"/>
          <w:iCs w:val="0"/>
          <w:caps w:val="0"/>
          <w:color w:val="000000"/>
          <w:spacing w:val="0"/>
          <w:sz w:val="32"/>
          <w:szCs w:val="32"/>
        </w:rPr>
        <w:t>年）的通知</w:t>
      </w:r>
    </w:p>
    <w:p>
      <w:pPr>
        <w:pStyle w:val="2"/>
        <w:keepNext w:val="0"/>
        <w:keepLines w:val="0"/>
        <w:widowControl/>
        <w:suppressLineNumbers w:val="0"/>
        <w:spacing w:line="315" w:lineRule="atLeast"/>
        <w:ind w:left="0" w:firstLine="0"/>
        <w:rPr>
          <w:rFonts w:hint="default" w:ascii="sans-serif" w:hAnsi="sans-serif" w:eastAsia="sans-serif" w:cs="sans-serif"/>
          <w:i w:val="0"/>
          <w:iCs w:val="0"/>
          <w:caps w:val="0"/>
          <w:color w:val="000000"/>
          <w:spacing w:val="0"/>
          <w:sz w:val="32"/>
          <w:szCs w:val="32"/>
        </w:rPr>
      </w:pPr>
      <w:r>
        <w:rPr>
          <w:rFonts w:ascii="仿宋_GB2312" w:hAnsi="sans-serif" w:eastAsia="仿宋_GB2312" w:cs="仿宋_GB2312"/>
          <w:i w:val="0"/>
          <w:iCs w:val="0"/>
          <w:caps w:val="0"/>
          <w:color w:val="000000"/>
          <w:spacing w:val="0"/>
          <w:sz w:val="32"/>
          <w:szCs w:val="32"/>
        </w:rPr>
        <w:t>  </w:t>
      </w:r>
    </w:p>
    <w:p>
      <w:pPr>
        <w:pStyle w:val="2"/>
        <w:keepNext w:val="0"/>
        <w:keepLines w:val="0"/>
        <w:widowControl/>
        <w:suppressLineNumbers w:val="0"/>
        <w:spacing w:line="285" w:lineRule="atLeast"/>
        <w:ind w:left="0" w:firstLine="323"/>
        <w:rPr>
          <w:rFonts w:hint="default" w:ascii="sans-serif" w:hAnsi="sans-serif" w:eastAsia="sans-serif" w:cs="sans-serif"/>
          <w:i w:val="0"/>
          <w:iCs w:val="0"/>
          <w:caps w:val="0"/>
          <w:color w:val="000000"/>
          <w:spacing w:val="0"/>
          <w:sz w:val="32"/>
          <w:szCs w:val="32"/>
        </w:rPr>
      </w:pPr>
      <w:r>
        <w:rPr>
          <w:rFonts w:hint="eastAsia" w:ascii="仿宋" w:hAnsi="仿宋" w:eastAsia="仿宋" w:cs="仿宋"/>
          <w:i w:val="0"/>
          <w:iCs w:val="0"/>
          <w:caps w:val="0"/>
          <w:color w:val="000000"/>
          <w:spacing w:val="0"/>
          <w:sz w:val="32"/>
          <w:szCs w:val="32"/>
        </w:rPr>
        <w:t>为加快构建泛在互联、全域感知、数据融合、创新协同、安全可靠的新型基础设施体系，根据《天津市人民政府办公厅关于印发天津市新型基础设施建设三年行动方案（2021—2023年）的通知》要求，结合我区实际，制定如下工作方案。</w:t>
      </w:r>
    </w:p>
    <w:p>
      <w:pPr>
        <w:pStyle w:val="2"/>
        <w:keepNext w:val="0"/>
        <w:keepLines w:val="0"/>
        <w:widowControl/>
        <w:suppressLineNumbers w:val="0"/>
        <w:spacing w:line="285" w:lineRule="atLeast"/>
        <w:ind w:left="0" w:firstLine="323"/>
        <w:rPr>
          <w:rFonts w:hint="default" w:ascii="sans-serif" w:hAnsi="sans-serif" w:eastAsia="sans-serif" w:cs="sans-serif"/>
          <w:i w:val="0"/>
          <w:iCs w:val="0"/>
          <w:caps w:val="0"/>
          <w:color w:val="000000"/>
          <w:spacing w:val="0"/>
          <w:sz w:val="32"/>
          <w:szCs w:val="32"/>
        </w:rPr>
      </w:pPr>
      <w:r>
        <w:rPr>
          <w:rFonts w:ascii="黑体" w:hAnsi="宋体" w:eastAsia="黑体" w:cs="黑体"/>
          <w:i w:val="0"/>
          <w:iCs w:val="0"/>
          <w:caps w:val="0"/>
          <w:color w:val="000000"/>
          <w:spacing w:val="0"/>
          <w:sz w:val="32"/>
          <w:szCs w:val="32"/>
        </w:rPr>
        <w:t>一、总体要求</w:t>
      </w:r>
    </w:p>
    <w:p>
      <w:pPr>
        <w:pStyle w:val="2"/>
        <w:keepNext w:val="0"/>
        <w:keepLines w:val="0"/>
        <w:widowControl/>
        <w:suppressLineNumbers w:val="0"/>
        <w:spacing w:line="285" w:lineRule="atLeast"/>
        <w:ind w:left="0" w:firstLine="323"/>
        <w:rPr>
          <w:rFonts w:hint="default" w:ascii="sans-serif" w:hAnsi="sans-serif" w:eastAsia="sans-serif" w:cs="sans-serif"/>
          <w:i w:val="0"/>
          <w:iCs w:val="0"/>
          <w:caps w:val="0"/>
          <w:color w:val="000000"/>
          <w:spacing w:val="0"/>
          <w:sz w:val="32"/>
          <w:szCs w:val="32"/>
        </w:rPr>
      </w:pPr>
      <w:r>
        <w:rPr>
          <w:rFonts w:ascii="楷体" w:hAnsi="楷体" w:eastAsia="楷体" w:cs="楷体"/>
          <w:i w:val="0"/>
          <w:iCs w:val="0"/>
          <w:caps w:val="0"/>
          <w:color w:val="000000"/>
          <w:spacing w:val="0"/>
          <w:sz w:val="32"/>
          <w:szCs w:val="32"/>
        </w:rPr>
        <w:t>（一）指导思想</w:t>
      </w:r>
    </w:p>
    <w:p>
      <w:pPr>
        <w:pStyle w:val="2"/>
        <w:keepNext w:val="0"/>
        <w:keepLines w:val="0"/>
        <w:widowControl/>
        <w:suppressLineNumbers w:val="0"/>
        <w:spacing w:line="285" w:lineRule="atLeast"/>
        <w:ind w:left="0" w:firstLine="323"/>
        <w:rPr>
          <w:rFonts w:hint="default" w:ascii="sans-serif" w:hAnsi="sans-serif" w:eastAsia="sans-serif" w:cs="sans-serif"/>
          <w:i w:val="0"/>
          <w:iCs w:val="0"/>
          <w:caps w:val="0"/>
          <w:color w:val="000000"/>
          <w:spacing w:val="0"/>
          <w:sz w:val="32"/>
          <w:szCs w:val="32"/>
        </w:rPr>
      </w:pPr>
      <w:r>
        <w:rPr>
          <w:rFonts w:hint="eastAsia" w:ascii="仿宋" w:hAnsi="仿宋" w:eastAsia="仿宋" w:cs="仿宋"/>
          <w:i w:val="0"/>
          <w:iCs w:val="0"/>
          <w:caps w:val="0"/>
          <w:color w:val="000000"/>
          <w:spacing w:val="0"/>
          <w:sz w:val="32"/>
          <w:szCs w:val="32"/>
        </w:rPr>
        <w:t>以习近平新时代中国特色社会主义思想为指导，全面贯彻党的十九大和十九届二中、三中、四中、五中、六中全会精神，认真落实习近平总书记对天津“三个着力”重要要求和一系列最新重要指示批示精神，立足新发展阶段，贯彻新发展理念，构建新发展格局，精准把握新一轮科技革命和产业变革发展趋势，高水平建设信息基础设施、融合基础设施、创新基础设施，以谋划实施新型基础设施重大项目推动城市更新发展、促进产业转型升级，厚植现代化产业体系新根基，打造经济高质量发展新引擎。</w:t>
      </w:r>
    </w:p>
    <w:p>
      <w:pPr>
        <w:pStyle w:val="2"/>
        <w:keepNext w:val="0"/>
        <w:keepLines w:val="0"/>
        <w:widowControl/>
        <w:suppressLineNumbers w:val="0"/>
        <w:spacing w:line="285" w:lineRule="atLeast"/>
        <w:ind w:left="0" w:firstLine="323"/>
        <w:rPr>
          <w:rFonts w:hint="default" w:ascii="sans-serif" w:hAnsi="sans-serif" w:eastAsia="sans-serif" w:cs="sans-serif"/>
          <w:i w:val="0"/>
          <w:iCs w:val="0"/>
          <w:caps w:val="0"/>
          <w:color w:val="000000"/>
          <w:spacing w:val="0"/>
          <w:sz w:val="32"/>
          <w:szCs w:val="32"/>
        </w:rPr>
      </w:pPr>
      <w:r>
        <w:rPr>
          <w:rFonts w:hint="eastAsia" w:ascii="楷体" w:hAnsi="楷体" w:eastAsia="楷体" w:cs="楷体"/>
          <w:i w:val="0"/>
          <w:iCs w:val="0"/>
          <w:caps w:val="0"/>
          <w:color w:val="000000"/>
          <w:spacing w:val="0"/>
          <w:sz w:val="32"/>
          <w:szCs w:val="32"/>
        </w:rPr>
        <w:t>（二）基本原则</w:t>
      </w:r>
    </w:p>
    <w:p>
      <w:pPr>
        <w:pStyle w:val="2"/>
        <w:keepNext w:val="0"/>
        <w:keepLines w:val="0"/>
        <w:widowControl/>
        <w:suppressLineNumbers w:val="0"/>
        <w:spacing w:line="285" w:lineRule="atLeast"/>
        <w:ind w:left="0" w:firstLine="323"/>
        <w:rPr>
          <w:rFonts w:hint="default" w:ascii="sans-serif" w:hAnsi="sans-serif" w:eastAsia="sans-serif" w:cs="sans-serif"/>
          <w:i w:val="0"/>
          <w:iCs w:val="0"/>
          <w:caps w:val="0"/>
          <w:color w:val="000000"/>
          <w:spacing w:val="0"/>
          <w:sz w:val="32"/>
          <w:szCs w:val="32"/>
        </w:rPr>
      </w:pPr>
      <w:r>
        <w:rPr>
          <w:rFonts w:hint="eastAsia" w:ascii="仿宋" w:hAnsi="仿宋" w:eastAsia="仿宋" w:cs="仿宋"/>
          <w:i w:val="0"/>
          <w:iCs w:val="0"/>
          <w:caps w:val="0"/>
          <w:color w:val="000000"/>
          <w:spacing w:val="0"/>
          <w:sz w:val="32"/>
          <w:szCs w:val="32"/>
        </w:rPr>
        <w:t>坚持高标准定位。深刻把握新型基础设施建设发展趋势，依托我区产业、人才和区位优势，高起点谋划、高标准要求、高质量推进，聚焦前沿方向，明确发展重点，打造新型基础设施建设和关联产业发展高地。</w:t>
      </w:r>
    </w:p>
    <w:p>
      <w:pPr>
        <w:pStyle w:val="2"/>
        <w:keepNext w:val="0"/>
        <w:keepLines w:val="0"/>
        <w:widowControl/>
        <w:suppressLineNumbers w:val="0"/>
        <w:spacing w:line="285" w:lineRule="atLeast"/>
        <w:ind w:left="0" w:firstLine="323"/>
        <w:rPr>
          <w:rFonts w:hint="default" w:ascii="sans-serif" w:hAnsi="sans-serif" w:eastAsia="sans-serif" w:cs="sans-serif"/>
          <w:i w:val="0"/>
          <w:iCs w:val="0"/>
          <w:caps w:val="0"/>
          <w:color w:val="000000"/>
          <w:spacing w:val="0"/>
          <w:sz w:val="32"/>
          <w:szCs w:val="32"/>
        </w:rPr>
      </w:pPr>
      <w:r>
        <w:rPr>
          <w:rFonts w:hint="eastAsia" w:ascii="仿宋" w:hAnsi="仿宋" w:eastAsia="仿宋" w:cs="仿宋"/>
          <w:i w:val="0"/>
          <w:iCs w:val="0"/>
          <w:caps w:val="0"/>
          <w:color w:val="000000"/>
          <w:spacing w:val="0"/>
          <w:sz w:val="32"/>
          <w:szCs w:val="32"/>
        </w:rPr>
        <w:t>坚持市场化推动。发挥市场在资源配置中的决定性作用，更好发挥政府作用，深入推进“放管服”改革，持续优化营商环境，充分利用政府投资引领带动，强化企业市场主体地位，激发社会资本发展潜力和投资活力。</w:t>
      </w:r>
    </w:p>
    <w:p>
      <w:pPr>
        <w:pStyle w:val="2"/>
        <w:keepNext w:val="0"/>
        <w:keepLines w:val="0"/>
        <w:widowControl/>
        <w:suppressLineNumbers w:val="0"/>
        <w:spacing w:line="285" w:lineRule="atLeast"/>
        <w:ind w:left="0" w:firstLine="323"/>
        <w:rPr>
          <w:rFonts w:hint="default" w:ascii="sans-serif" w:hAnsi="sans-serif" w:eastAsia="sans-serif" w:cs="sans-serif"/>
          <w:i w:val="0"/>
          <w:iCs w:val="0"/>
          <w:caps w:val="0"/>
          <w:color w:val="000000"/>
          <w:spacing w:val="0"/>
          <w:sz w:val="32"/>
          <w:szCs w:val="32"/>
        </w:rPr>
      </w:pPr>
      <w:r>
        <w:rPr>
          <w:rFonts w:hint="eastAsia" w:ascii="仿宋" w:hAnsi="仿宋" w:eastAsia="仿宋" w:cs="仿宋"/>
          <w:i w:val="0"/>
          <w:iCs w:val="0"/>
          <w:caps w:val="0"/>
          <w:color w:val="000000"/>
          <w:spacing w:val="0"/>
          <w:sz w:val="32"/>
          <w:szCs w:val="32"/>
        </w:rPr>
        <w:t>坚持立体式统筹。强化横向协同、纵向联动，全面加强对项目谋划、储备、前期、建设、投产、达效的全过程跟踪管理，坚持要素跟着项目走，建立制度化、常态化工作机制。</w:t>
      </w:r>
    </w:p>
    <w:p>
      <w:pPr>
        <w:pStyle w:val="2"/>
        <w:keepNext w:val="0"/>
        <w:keepLines w:val="0"/>
        <w:widowControl/>
        <w:suppressLineNumbers w:val="0"/>
        <w:spacing w:line="285" w:lineRule="atLeast"/>
        <w:ind w:left="0" w:firstLine="323"/>
        <w:rPr>
          <w:rFonts w:hint="default" w:ascii="sans-serif" w:hAnsi="sans-serif" w:eastAsia="sans-serif" w:cs="sans-serif"/>
          <w:i w:val="0"/>
          <w:iCs w:val="0"/>
          <w:caps w:val="0"/>
          <w:color w:val="000000"/>
          <w:spacing w:val="0"/>
          <w:sz w:val="32"/>
          <w:szCs w:val="32"/>
        </w:rPr>
      </w:pPr>
      <w:r>
        <w:rPr>
          <w:rFonts w:hint="eastAsia" w:ascii="仿宋" w:hAnsi="仿宋" w:eastAsia="仿宋" w:cs="仿宋"/>
          <w:i w:val="0"/>
          <w:iCs w:val="0"/>
          <w:caps w:val="0"/>
          <w:color w:val="000000"/>
          <w:spacing w:val="0"/>
          <w:sz w:val="32"/>
          <w:szCs w:val="32"/>
        </w:rPr>
        <w:t>坚持清单式管理。实施项目化、清单化推动，明确时间表、路线图、责任人，加强动态跟踪和协调服务，分类、分级、分时精准调度，强力推动项目谋划建设和产业集聚发展。</w:t>
      </w:r>
    </w:p>
    <w:p>
      <w:pPr>
        <w:pStyle w:val="2"/>
        <w:keepNext w:val="0"/>
        <w:keepLines w:val="0"/>
        <w:widowControl/>
        <w:suppressLineNumbers w:val="0"/>
        <w:spacing w:line="285" w:lineRule="atLeast"/>
        <w:ind w:left="0" w:firstLine="323"/>
        <w:rPr>
          <w:rFonts w:hint="default" w:ascii="sans-serif" w:hAnsi="sans-serif" w:eastAsia="sans-serif" w:cs="sans-serif"/>
          <w:i w:val="0"/>
          <w:iCs w:val="0"/>
          <w:caps w:val="0"/>
          <w:color w:val="000000"/>
          <w:spacing w:val="0"/>
          <w:sz w:val="32"/>
          <w:szCs w:val="32"/>
        </w:rPr>
      </w:pPr>
      <w:r>
        <w:rPr>
          <w:rFonts w:hint="eastAsia" w:ascii="黑体" w:hAnsi="宋体" w:eastAsia="黑体" w:cs="黑体"/>
          <w:i w:val="0"/>
          <w:iCs w:val="0"/>
          <w:caps w:val="0"/>
          <w:color w:val="000000"/>
          <w:spacing w:val="0"/>
          <w:sz w:val="32"/>
          <w:szCs w:val="32"/>
        </w:rPr>
        <w:t>二、发展目标</w:t>
      </w:r>
    </w:p>
    <w:p>
      <w:pPr>
        <w:pStyle w:val="2"/>
        <w:keepNext w:val="0"/>
        <w:keepLines w:val="0"/>
        <w:widowControl/>
        <w:suppressLineNumbers w:val="0"/>
        <w:spacing w:line="285" w:lineRule="atLeast"/>
        <w:ind w:left="0" w:firstLine="323"/>
        <w:rPr>
          <w:rFonts w:hint="default" w:ascii="sans-serif" w:hAnsi="sans-serif" w:eastAsia="sans-serif" w:cs="sans-serif"/>
          <w:i w:val="0"/>
          <w:iCs w:val="0"/>
          <w:caps w:val="0"/>
          <w:color w:val="000000"/>
          <w:spacing w:val="0"/>
          <w:sz w:val="32"/>
          <w:szCs w:val="32"/>
        </w:rPr>
      </w:pPr>
      <w:r>
        <w:rPr>
          <w:rFonts w:hint="eastAsia" w:ascii="仿宋" w:hAnsi="仿宋" w:eastAsia="仿宋" w:cs="仿宋"/>
          <w:i w:val="0"/>
          <w:iCs w:val="0"/>
          <w:caps w:val="0"/>
          <w:color w:val="000000"/>
          <w:spacing w:val="0"/>
          <w:sz w:val="32"/>
          <w:szCs w:val="32"/>
        </w:rPr>
        <w:t>到2023年，我区新型基础设施建设水平取得实质性进展，基本建成泛在互联、全域感知、数据融合、创新协同、安全可靠的新型基础设施体系，为经济高质量发展和城市高效能治理提供重要支撑。</w:t>
      </w:r>
    </w:p>
    <w:p>
      <w:pPr>
        <w:pStyle w:val="2"/>
        <w:keepNext w:val="0"/>
        <w:keepLines w:val="0"/>
        <w:widowControl/>
        <w:suppressLineNumbers w:val="0"/>
        <w:spacing w:line="285" w:lineRule="atLeast"/>
        <w:ind w:left="0" w:firstLine="323"/>
        <w:rPr>
          <w:rFonts w:hint="default" w:ascii="sans-serif" w:hAnsi="sans-serif" w:eastAsia="sans-serif" w:cs="sans-serif"/>
          <w:i w:val="0"/>
          <w:iCs w:val="0"/>
          <w:caps w:val="0"/>
          <w:color w:val="000000"/>
          <w:spacing w:val="0"/>
          <w:sz w:val="32"/>
          <w:szCs w:val="32"/>
        </w:rPr>
      </w:pPr>
      <w:r>
        <w:rPr>
          <w:rFonts w:hint="eastAsia" w:ascii="仿宋" w:hAnsi="仿宋" w:eastAsia="仿宋" w:cs="仿宋"/>
          <w:i w:val="0"/>
          <w:iCs w:val="0"/>
          <w:caps w:val="0"/>
          <w:color w:val="000000"/>
          <w:spacing w:val="0"/>
          <w:sz w:val="32"/>
          <w:szCs w:val="32"/>
        </w:rPr>
        <w:t>信息基础设施水平大幅提升。5G网络实现全覆盖，积极推动示范应用场景建设，宽带网络下载速率全市领先。“一网通办”“一网统管”持续深化。</w:t>
      </w:r>
    </w:p>
    <w:p>
      <w:pPr>
        <w:pStyle w:val="2"/>
        <w:keepNext w:val="0"/>
        <w:keepLines w:val="0"/>
        <w:widowControl/>
        <w:suppressLineNumbers w:val="0"/>
        <w:spacing w:line="285" w:lineRule="atLeast"/>
        <w:ind w:left="0" w:firstLine="323"/>
        <w:rPr>
          <w:rFonts w:hint="default" w:ascii="sans-serif" w:hAnsi="sans-serif" w:eastAsia="sans-serif" w:cs="sans-serif"/>
          <w:i w:val="0"/>
          <w:iCs w:val="0"/>
          <w:caps w:val="0"/>
          <w:color w:val="000000"/>
          <w:spacing w:val="0"/>
          <w:sz w:val="32"/>
          <w:szCs w:val="32"/>
        </w:rPr>
      </w:pPr>
      <w:r>
        <w:rPr>
          <w:rFonts w:hint="eastAsia" w:ascii="仿宋" w:hAnsi="仿宋" w:eastAsia="仿宋" w:cs="仿宋"/>
          <w:i w:val="0"/>
          <w:iCs w:val="0"/>
          <w:caps w:val="0"/>
          <w:color w:val="000000"/>
          <w:spacing w:val="0"/>
          <w:sz w:val="32"/>
          <w:szCs w:val="32"/>
        </w:rPr>
        <w:t>融合基础设施应用生态全面发展。聚焦智慧城市建设，推广一批融合应用场景，加快引导培育数字化车间、智能工厂，车联网应用场景覆盖区域超过4.5平方公里，智慧城市和治理水平全方位提升。</w:t>
      </w:r>
    </w:p>
    <w:p>
      <w:pPr>
        <w:pStyle w:val="2"/>
        <w:keepNext w:val="0"/>
        <w:keepLines w:val="0"/>
        <w:widowControl/>
        <w:suppressLineNumbers w:val="0"/>
        <w:spacing w:line="285" w:lineRule="atLeast"/>
        <w:ind w:left="0" w:firstLine="323"/>
        <w:rPr>
          <w:rFonts w:hint="default" w:ascii="sans-serif" w:hAnsi="sans-serif" w:eastAsia="sans-serif" w:cs="sans-serif"/>
          <w:i w:val="0"/>
          <w:iCs w:val="0"/>
          <w:caps w:val="0"/>
          <w:color w:val="000000"/>
          <w:spacing w:val="0"/>
          <w:sz w:val="32"/>
          <w:szCs w:val="32"/>
        </w:rPr>
      </w:pPr>
      <w:r>
        <w:rPr>
          <w:rFonts w:hint="eastAsia" w:ascii="黑体" w:hAnsi="宋体" w:eastAsia="黑体" w:cs="黑体"/>
          <w:i w:val="0"/>
          <w:iCs w:val="0"/>
          <w:caps w:val="0"/>
          <w:color w:val="000000"/>
          <w:spacing w:val="0"/>
          <w:sz w:val="32"/>
          <w:szCs w:val="32"/>
        </w:rPr>
        <w:t>三、主要任务</w:t>
      </w:r>
    </w:p>
    <w:p>
      <w:pPr>
        <w:pStyle w:val="2"/>
        <w:keepNext w:val="0"/>
        <w:keepLines w:val="0"/>
        <w:widowControl/>
        <w:suppressLineNumbers w:val="0"/>
        <w:spacing w:line="285" w:lineRule="atLeast"/>
        <w:ind w:left="0" w:firstLine="323"/>
        <w:rPr>
          <w:rFonts w:hint="default" w:ascii="sans-serif" w:hAnsi="sans-serif" w:eastAsia="sans-serif" w:cs="sans-serif"/>
          <w:i w:val="0"/>
          <w:iCs w:val="0"/>
          <w:caps w:val="0"/>
          <w:color w:val="000000"/>
          <w:spacing w:val="0"/>
          <w:sz w:val="32"/>
          <w:szCs w:val="32"/>
        </w:rPr>
      </w:pPr>
      <w:r>
        <w:rPr>
          <w:rFonts w:hint="eastAsia" w:ascii="仿宋" w:hAnsi="仿宋" w:eastAsia="仿宋" w:cs="仿宋"/>
          <w:i w:val="0"/>
          <w:iCs w:val="0"/>
          <w:caps w:val="0"/>
          <w:color w:val="000000"/>
          <w:spacing w:val="0"/>
          <w:sz w:val="32"/>
          <w:szCs w:val="32"/>
        </w:rPr>
        <w:t>1．推进互联网创新发展。实施千兆5G和千兆光网建设提升工程，建设“双千兆”城市。推动各通信分公司加大5G基站和网络建设，到2023年累计建设5G基站1500个。推进电信企业无源光网络部署和下一代PON技术应用，移动通信网络、固定管带网络接入能力达到1000兆比特每秒（Mbps）。根据工业企业实际推动工业互联网企业加快内、外网络改造升级。引导培育工业企业上云上平台新增3家。积极推进基础电信企业和工业企业互联网协议第6版（IPv6）应用。（责任单位：区工业和信息化局、各街镇）</w:t>
      </w:r>
    </w:p>
    <w:p>
      <w:pPr>
        <w:pStyle w:val="2"/>
        <w:keepNext w:val="0"/>
        <w:keepLines w:val="0"/>
        <w:widowControl/>
        <w:suppressLineNumbers w:val="0"/>
        <w:spacing w:line="285" w:lineRule="atLeast"/>
        <w:ind w:left="0" w:firstLine="323"/>
        <w:rPr>
          <w:rFonts w:hint="default" w:ascii="sans-serif" w:hAnsi="sans-serif" w:eastAsia="sans-serif" w:cs="sans-serif"/>
          <w:i w:val="0"/>
          <w:iCs w:val="0"/>
          <w:caps w:val="0"/>
          <w:color w:val="000000"/>
          <w:spacing w:val="0"/>
          <w:sz w:val="32"/>
          <w:szCs w:val="32"/>
        </w:rPr>
      </w:pPr>
      <w:r>
        <w:rPr>
          <w:rFonts w:hint="eastAsia" w:ascii="仿宋" w:hAnsi="仿宋" w:eastAsia="仿宋" w:cs="仿宋"/>
          <w:i w:val="0"/>
          <w:iCs w:val="0"/>
          <w:caps w:val="0"/>
          <w:color w:val="000000"/>
          <w:spacing w:val="0"/>
          <w:sz w:val="32"/>
          <w:szCs w:val="32"/>
        </w:rPr>
        <w:t>2．推动数据中心高质量发展。按照《推动我市数据中心高质量发展的实施方案》要求，大力促进数据中心与新兴优势产业融合渗透，加快产业基础高级化、产业链条智能化。重点推进光环新网数据中心建设，加快大数据、云计算、5G等技术和产业的结合、应用，打通云计算产业上下游，鼓励数据中心绿色发展。发挥京津中关村科技城大数据产业园的技术创新优势，依托宝坻区大数据管理中心建设，加快应用大数据、云计算、人工智能、区块链等新技术，推进大数据服务应用场景建设。（责任单位：区委网信办、京津中关村科技城管委会、各街镇）</w:t>
      </w:r>
    </w:p>
    <w:p>
      <w:pPr>
        <w:pStyle w:val="2"/>
        <w:keepNext w:val="0"/>
        <w:keepLines w:val="0"/>
        <w:widowControl/>
        <w:suppressLineNumbers w:val="0"/>
        <w:spacing w:line="285" w:lineRule="atLeast"/>
        <w:ind w:left="0" w:firstLine="323"/>
        <w:rPr>
          <w:rFonts w:hint="default" w:ascii="sans-serif" w:hAnsi="sans-serif" w:eastAsia="sans-serif" w:cs="sans-serif"/>
          <w:i w:val="0"/>
          <w:iCs w:val="0"/>
          <w:caps w:val="0"/>
          <w:color w:val="000000"/>
          <w:spacing w:val="0"/>
          <w:sz w:val="32"/>
          <w:szCs w:val="32"/>
        </w:rPr>
      </w:pPr>
      <w:r>
        <w:rPr>
          <w:rFonts w:hint="eastAsia" w:ascii="仿宋" w:hAnsi="仿宋" w:eastAsia="仿宋" w:cs="仿宋"/>
          <w:i w:val="0"/>
          <w:iCs w:val="0"/>
          <w:caps w:val="0"/>
          <w:color w:val="000000"/>
          <w:spacing w:val="0"/>
          <w:sz w:val="32"/>
          <w:szCs w:val="32"/>
        </w:rPr>
        <w:t>3．推进泛在感知防控设施布局。完成全区新建主要交通道路，重点区域潮南新城、高铁站周边及全区重点目标、要害部位不低于1500路感知前端设备建设，对2016年建设的2300余路一类视频、电子卡口进行升级改造，整合接入全区重点部位、重要目标视频点位不低于5000路，打造多维空间的“环京”感知“护城河”。建设宝坻区感知设备大数据中心，前端感知设备接入量达到20000路以上，视频结构化处理能力提升到2000路以上，数据资源同时并发能力不低于1000路，完成视频网格化管理、感知单元档案式管理、多类感知设备区域联动并发等功能建设。加强感知系统服务能力建设，在优化营商环境、服务民生发展、应对重特大自然灾害等方面持续发力，推进感知设备与5G电子设备融合应用建设，最大限度的发挥感知设备效能。（责任单位：公安宝坻分局、各街镇）</w:t>
      </w:r>
    </w:p>
    <w:p>
      <w:pPr>
        <w:pStyle w:val="2"/>
        <w:keepNext w:val="0"/>
        <w:keepLines w:val="0"/>
        <w:widowControl/>
        <w:suppressLineNumbers w:val="0"/>
        <w:spacing w:line="285" w:lineRule="atLeast"/>
        <w:ind w:left="0" w:firstLine="323"/>
        <w:rPr>
          <w:rFonts w:hint="default" w:ascii="sans-serif" w:hAnsi="sans-serif" w:eastAsia="sans-serif" w:cs="sans-serif"/>
          <w:i w:val="0"/>
          <w:iCs w:val="0"/>
          <w:caps w:val="0"/>
          <w:color w:val="000000"/>
          <w:spacing w:val="0"/>
          <w:sz w:val="32"/>
          <w:szCs w:val="32"/>
        </w:rPr>
      </w:pPr>
      <w:r>
        <w:rPr>
          <w:rFonts w:hint="eastAsia" w:ascii="仿宋" w:hAnsi="仿宋" w:eastAsia="仿宋" w:cs="仿宋"/>
          <w:i w:val="0"/>
          <w:iCs w:val="0"/>
          <w:caps w:val="0"/>
          <w:color w:val="000000"/>
          <w:spacing w:val="0"/>
          <w:sz w:val="32"/>
          <w:szCs w:val="32"/>
        </w:rPr>
        <w:t>4．强化政务服务支撑能力。发展数字经济，制定数字宝坻发展规划，推进数字宝坻建设。推进政务大数据云平台建设，全面梳理区内业务系统建设情况，制定建设方案。优化电子政务外网架构，提高政务外网基层接入端服务能力，充分发挥政务外网区域全覆盖、安全、高效的优势。（责任单位：区工业和信息化局、区委网信办、各街镇）</w:t>
      </w:r>
    </w:p>
    <w:p>
      <w:pPr>
        <w:pStyle w:val="2"/>
        <w:keepNext w:val="0"/>
        <w:keepLines w:val="0"/>
        <w:widowControl/>
        <w:suppressLineNumbers w:val="0"/>
        <w:spacing w:line="285" w:lineRule="atLeast"/>
        <w:ind w:left="0" w:firstLine="323"/>
        <w:rPr>
          <w:rFonts w:hint="default" w:ascii="sans-serif" w:hAnsi="sans-serif" w:eastAsia="sans-serif" w:cs="sans-serif"/>
          <w:i w:val="0"/>
          <w:iCs w:val="0"/>
          <w:caps w:val="0"/>
          <w:color w:val="000000"/>
          <w:spacing w:val="0"/>
          <w:sz w:val="32"/>
          <w:szCs w:val="32"/>
        </w:rPr>
      </w:pPr>
      <w:r>
        <w:rPr>
          <w:rFonts w:hint="eastAsia" w:ascii="仿宋" w:hAnsi="仿宋" w:eastAsia="仿宋" w:cs="仿宋"/>
          <w:i w:val="0"/>
          <w:iCs w:val="0"/>
          <w:caps w:val="0"/>
          <w:color w:val="000000"/>
          <w:spacing w:val="0"/>
          <w:sz w:val="32"/>
          <w:szCs w:val="32"/>
        </w:rPr>
        <w:t>5．加快产业智能化转型。推进智慧农业建设，聚焦智慧养殖、智慧农机等方面，推动基础设施智能化改造升级，促进我区农业转型升级；建立健全农业可追溯机制，确保粮食、蔬菜等农产品安全；全区主要农作物耕种收综合机械化率保持在90%以上。发展智能制造，聚焦智能化基础制造装备，推动智能制造试点示范，引导培育3个数字化车间和智能工厂；积极培育1~2家智能制造系统解决方案供应商。推进智慧文旅建设，加大星级宾馆、A级景区信息技术在旅游行业的融合力度，实现线上预订和支付及Wi—Fi全覆盖。（责任单位：区农业农村委、区工业和信息化局、区文化和旅游局、各街镇）</w:t>
      </w:r>
    </w:p>
    <w:p>
      <w:pPr>
        <w:pStyle w:val="2"/>
        <w:keepNext w:val="0"/>
        <w:keepLines w:val="0"/>
        <w:widowControl/>
        <w:suppressLineNumbers w:val="0"/>
        <w:spacing w:line="285" w:lineRule="atLeast"/>
        <w:ind w:left="0" w:firstLine="323"/>
        <w:rPr>
          <w:rFonts w:hint="default" w:ascii="sans-serif" w:hAnsi="sans-serif" w:eastAsia="sans-serif" w:cs="sans-serif"/>
          <w:i w:val="0"/>
          <w:iCs w:val="0"/>
          <w:caps w:val="0"/>
          <w:color w:val="000000"/>
          <w:spacing w:val="0"/>
          <w:sz w:val="32"/>
          <w:szCs w:val="32"/>
        </w:rPr>
      </w:pPr>
      <w:r>
        <w:rPr>
          <w:rFonts w:hint="eastAsia" w:ascii="仿宋" w:hAnsi="仿宋" w:eastAsia="仿宋" w:cs="仿宋"/>
          <w:i w:val="0"/>
          <w:iCs w:val="0"/>
          <w:caps w:val="0"/>
          <w:color w:val="000000"/>
          <w:spacing w:val="0"/>
          <w:sz w:val="32"/>
          <w:szCs w:val="32"/>
        </w:rPr>
        <w:t>6．推进智慧能源建设。持续深化智慧能源技术研究与示范应用，推进九园工业园区智慧能源项目建设。增建新能源机动车充电设施，在居民小区建设公共充电桩30台。落实天津新增“外电入津”特高压落点和通道路径，持续提升天津电网外受电能力。服务京津冀重大基础设施建设，推进京滨、京唐铁路牵引站220千伏外部供电工程建设。积极开展华润风电、大唐风电等项目并网研究。加快宝坻区农业智慧大棚示范项目建设，深化智慧能源技术研究与示范应用。深化带电作业机器人典型应用。继续巩固完善“0.9、3、5”充电服务圈，持续深化智慧车联网平台应用。（责任单位：区发展改革委、国网天津宝坻公司）</w:t>
      </w:r>
    </w:p>
    <w:p>
      <w:pPr>
        <w:pStyle w:val="2"/>
        <w:keepNext w:val="0"/>
        <w:keepLines w:val="0"/>
        <w:widowControl/>
        <w:suppressLineNumbers w:val="0"/>
        <w:spacing w:line="285" w:lineRule="atLeast"/>
        <w:ind w:left="0" w:firstLine="323"/>
        <w:rPr>
          <w:rFonts w:hint="default" w:ascii="sans-serif" w:hAnsi="sans-serif" w:eastAsia="sans-serif" w:cs="sans-serif"/>
          <w:i w:val="0"/>
          <w:iCs w:val="0"/>
          <w:caps w:val="0"/>
          <w:color w:val="000000"/>
          <w:spacing w:val="0"/>
          <w:sz w:val="32"/>
          <w:szCs w:val="32"/>
        </w:rPr>
      </w:pPr>
      <w:r>
        <w:rPr>
          <w:rFonts w:hint="eastAsia" w:ascii="仿宋" w:hAnsi="仿宋" w:eastAsia="仿宋" w:cs="仿宋"/>
          <w:i w:val="0"/>
          <w:iCs w:val="0"/>
          <w:caps w:val="0"/>
          <w:color w:val="000000"/>
          <w:spacing w:val="0"/>
          <w:sz w:val="32"/>
          <w:szCs w:val="32"/>
        </w:rPr>
        <w:t>7．推进智慧交通建设。建设宝坻新城捷运一号线，构建高铁站前区和京津中关村科技城的快速交通体系。提升道路运输智能化服务能力，推动巡游出租车网约化发展，建立道路运输车辆安全运行全过程智能视频监控报警系统。发展车联网（智能网联汽车），优先布局京津中关村科技城区域4G网络深度覆盖和5G基站及网络建设；在京津中关村科技城打造10公里智能驾驶园区应用示范段，建设支持高级别智能驾驶实时协同感知与控制的车路协同道路23公里，以“智能网联汽车+车路协同”融合的方式，打造新型交通体系，打造3000平方米室内教学场地，开展智能网联汽车技术实训，打造人才实训基地，为行业培养人才。（责任单位：区交通局、区工业和信息化局、京津中关村科技城管委会）</w:t>
      </w:r>
    </w:p>
    <w:p>
      <w:pPr>
        <w:pStyle w:val="2"/>
        <w:keepNext w:val="0"/>
        <w:keepLines w:val="0"/>
        <w:widowControl/>
        <w:suppressLineNumbers w:val="0"/>
        <w:spacing w:line="285" w:lineRule="atLeast"/>
        <w:ind w:left="0" w:firstLine="323"/>
        <w:rPr>
          <w:rFonts w:hint="default" w:ascii="sans-serif" w:hAnsi="sans-serif" w:eastAsia="sans-serif" w:cs="sans-serif"/>
          <w:i w:val="0"/>
          <w:iCs w:val="0"/>
          <w:caps w:val="0"/>
          <w:color w:val="000000"/>
          <w:spacing w:val="0"/>
          <w:sz w:val="32"/>
          <w:szCs w:val="32"/>
        </w:rPr>
      </w:pPr>
      <w:r>
        <w:rPr>
          <w:rFonts w:hint="eastAsia" w:ascii="仿宋" w:hAnsi="仿宋" w:eastAsia="仿宋" w:cs="仿宋"/>
          <w:i w:val="0"/>
          <w:iCs w:val="0"/>
          <w:caps w:val="0"/>
          <w:color w:val="000000"/>
          <w:spacing w:val="0"/>
          <w:sz w:val="32"/>
          <w:szCs w:val="32"/>
        </w:rPr>
        <w:t>8．推进智慧医疗和智慧医保建设。建设宝坻区分级诊疗平台。实现区内公立医院京津冀异地就医联网结算。支持微医集团等企业在宝坻开展数字健共体建设。推进我区医保服务智能化，参保人员电子凭证激活率达到70%。深化我区异地就医直接结算，定点医疗机构开通异地就医直接结算服务实现全覆盖。（责任单位：区卫生健康委、区医疗保障局）</w:t>
      </w:r>
    </w:p>
    <w:p>
      <w:pPr>
        <w:pStyle w:val="2"/>
        <w:keepNext w:val="0"/>
        <w:keepLines w:val="0"/>
        <w:widowControl/>
        <w:suppressLineNumbers w:val="0"/>
        <w:spacing w:line="285" w:lineRule="atLeast"/>
        <w:ind w:left="0" w:firstLine="323"/>
        <w:rPr>
          <w:rFonts w:hint="default" w:ascii="sans-serif" w:hAnsi="sans-serif" w:eastAsia="sans-serif" w:cs="sans-serif"/>
          <w:i w:val="0"/>
          <w:iCs w:val="0"/>
          <w:caps w:val="0"/>
          <w:color w:val="000000"/>
          <w:spacing w:val="0"/>
          <w:sz w:val="32"/>
          <w:szCs w:val="32"/>
        </w:rPr>
      </w:pPr>
      <w:r>
        <w:rPr>
          <w:rFonts w:hint="eastAsia" w:ascii="仿宋" w:hAnsi="仿宋" w:eastAsia="仿宋" w:cs="仿宋"/>
          <w:i w:val="0"/>
          <w:iCs w:val="0"/>
          <w:caps w:val="0"/>
          <w:color w:val="000000"/>
          <w:spacing w:val="0"/>
          <w:sz w:val="32"/>
          <w:szCs w:val="32"/>
        </w:rPr>
        <w:t>9．推进智慧教育新基建建设。开展基于天津教育科研网、天津市终身教育服务平台、天津市终身教育资源平台、天津市终身教育安全平台“一网三平台”的各类智慧教育应用推广和使用培训；建设具有宝坻特色的区级智慧教育云平台；建设完成不少于5所智慧校园示范学校；建设内容丰富的区级精品课程教育资源库；建设不少于20个新媒体智慧教室、数字创新实验室和虚拟仿真实训室。（责任单位：区教育局、各街镇）</w:t>
      </w:r>
    </w:p>
    <w:p>
      <w:pPr>
        <w:pStyle w:val="2"/>
        <w:keepNext w:val="0"/>
        <w:keepLines w:val="0"/>
        <w:widowControl/>
        <w:suppressLineNumbers w:val="0"/>
        <w:spacing w:line="285" w:lineRule="atLeast"/>
        <w:ind w:left="0" w:firstLine="323"/>
        <w:rPr>
          <w:rFonts w:hint="default" w:ascii="sans-serif" w:hAnsi="sans-serif" w:eastAsia="sans-serif" w:cs="sans-serif"/>
          <w:i w:val="0"/>
          <w:iCs w:val="0"/>
          <w:caps w:val="0"/>
          <w:color w:val="000000"/>
          <w:spacing w:val="0"/>
          <w:sz w:val="32"/>
          <w:szCs w:val="32"/>
        </w:rPr>
      </w:pPr>
      <w:r>
        <w:rPr>
          <w:rFonts w:hint="eastAsia" w:ascii="仿宋" w:hAnsi="仿宋" w:eastAsia="仿宋" w:cs="仿宋"/>
          <w:i w:val="0"/>
          <w:iCs w:val="0"/>
          <w:caps w:val="0"/>
          <w:color w:val="000000"/>
          <w:spacing w:val="0"/>
          <w:sz w:val="32"/>
          <w:szCs w:val="32"/>
        </w:rPr>
        <w:t>10．推进智慧健身（运动）建设。推进宝坻体育馆智能化建设，对宝坻体育馆现有的智能系统进行提升改造，实现线上预定健身场地、进出体育馆人数统计智能化。推进宝坻体育场项目智能化建设，将智能化建设纳入宝坻体育场建设项目设计内容，实现“三同”，即：同步规划、同步设计、同步施工。推进全民健身信息服务平台建设，规划建设宝坻区全民健身信息服务平台，依托平台组织赛事活动、普及健身知识、指导居家健身和加强社会体育指导员管理等。（责任单位：区体育局、各街镇）</w:t>
      </w:r>
    </w:p>
    <w:p>
      <w:pPr>
        <w:pStyle w:val="2"/>
        <w:keepNext w:val="0"/>
        <w:keepLines w:val="0"/>
        <w:widowControl/>
        <w:suppressLineNumbers w:val="0"/>
        <w:spacing w:line="285" w:lineRule="atLeast"/>
        <w:ind w:left="0" w:firstLine="323"/>
        <w:rPr>
          <w:rFonts w:hint="default" w:ascii="sans-serif" w:hAnsi="sans-serif" w:eastAsia="sans-serif" w:cs="sans-serif"/>
          <w:i w:val="0"/>
          <w:iCs w:val="0"/>
          <w:caps w:val="0"/>
          <w:color w:val="000000"/>
          <w:spacing w:val="0"/>
          <w:sz w:val="32"/>
          <w:szCs w:val="32"/>
        </w:rPr>
      </w:pPr>
      <w:r>
        <w:rPr>
          <w:rFonts w:hint="eastAsia" w:ascii="仿宋" w:hAnsi="仿宋" w:eastAsia="仿宋" w:cs="仿宋"/>
          <w:i w:val="0"/>
          <w:iCs w:val="0"/>
          <w:caps w:val="0"/>
          <w:color w:val="000000"/>
          <w:spacing w:val="0"/>
          <w:sz w:val="32"/>
          <w:szCs w:val="32"/>
        </w:rPr>
        <w:t>11．推进智慧平安社区（乡村）建设。推广低成本、无感知“小快灵”智慧平安社区解决方案，拓展民生服务功能，通过在社区前端建设人车抓拍摄像机、人车聚类分析系统等设备，实现对社区进出人员车辆信息和出入频次的采集。同时，通过拓展应用平台业务功能实现社区服务，一标三实信息采集，矛盾纠纷化解，重点关注人员、社区帮扶对象的智能分析预警等社会基础治理，全面提升基础信息采集率、警务实战应用率、基础治理参与率。2022年底全区智慧平安社区建设率达到100%。（责任单位：公安宝坻分局、各街镇）</w:t>
      </w:r>
    </w:p>
    <w:p>
      <w:pPr>
        <w:pStyle w:val="2"/>
        <w:keepNext w:val="0"/>
        <w:keepLines w:val="0"/>
        <w:widowControl/>
        <w:suppressLineNumbers w:val="0"/>
        <w:spacing w:line="285" w:lineRule="atLeast"/>
        <w:ind w:left="0" w:firstLine="323"/>
        <w:rPr>
          <w:rFonts w:hint="default" w:ascii="sans-serif" w:hAnsi="sans-serif" w:eastAsia="sans-serif" w:cs="sans-serif"/>
          <w:i w:val="0"/>
          <w:iCs w:val="0"/>
          <w:caps w:val="0"/>
          <w:color w:val="000000"/>
          <w:spacing w:val="0"/>
          <w:sz w:val="32"/>
          <w:szCs w:val="32"/>
        </w:rPr>
      </w:pPr>
      <w:r>
        <w:rPr>
          <w:rFonts w:hint="eastAsia" w:ascii="黑体" w:hAnsi="宋体" w:eastAsia="黑体" w:cs="黑体"/>
          <w:i w:val="0"/>
          <w:iCs w:val="0"/>
          <w:caps w:val="0"/>
          <w:color w:val="000000"/>
          <w:spacing w:val="0"/>
          <w:sz w:val="32"/>
          <w:szCs w:val="32"/>
        </w:rPr>
        <w:t>四、保障措施</w:t>
      </w:r>
    </w:p>
    <w:p>
      <w:pPr>
        <w:pStyle w:val="2"/>
        <w:keepNext w:val="0"/>
        <w:keepLines w:val="0"/>
        <w:widowControl/>
        <w:suppressLineNumbers w:val="0"/>
        <w:spacing w:line="285" w:lineRule="atLeast"/>
        <w:ind w:left="0" w:firstLine="323"/>
        <w:rPr>
          <w:rFonts w:hint="default" w:ascii="sans-serif" w:hAnsi="sans-serif" w:eastAsia="sans-serif" w:cs="sans-serif"/>
          <w:i w:val="0"/>
          <w:iCs w:val="0"/>
          <w:caps w:val="0"/>
          <w:color w:val="000000"/>
          <w:spacing w:val="0"/>
          <w:sz w:val="32"/>
          <w:szCs w:val="32"/>
        </w:rPr>
      </w:pPr>
      <w:r>
        <w:rPr>
          <w:rFonts w:hint="eastAsia" w:ascii="楷体" w:hAnsi="楷体" w:eastAsia="楷体" w:cs="楷体"/>
          <w:i w:val="0"/>
          <w:iCs w:val="0"/>
          <w:caps w:val="0"/>
          <w:color w:val="000000"/>
          <w:spacing w:val="0"/>
          <w:sz w:val="32"/>
          <w:szCs w:val="32"/>
        </w:rPr>
        <w:t>（一）强化组织推动</w:t>
      </w:r>
    </w:p>
    <w:p>
      <w:pPr>
        <w:pStyle w:val="2"/>
        <w:keepNext w:val="0"/>
        <w:keepLines w:val="0"/>
        <w:widowControl/>
        <w:suppressLineNumbers w:val="0"/>
        <w:spacing w:line="285" w:lineRule="atLeast"/>
        <w:ind w:left="0" w:firstLine="323"/>
        <w:rPr>
          <w:rFonts w:hint="default" w:ascii="sans-serif" w:hAnsi="sans-serif" w:eastAsia="sans-serif" w:cs="sans-serif"/>
          <w:i w:val="0"/>
          <w:iCs w:val="0"/>
          <w:caps w:val="0"/>
          <w:color w:val="000000"/>
          <w:spacing w:val="0"/>
          <w:sz w:val="32"/>
          <w:szCs w:val="32"/>
        </w:rPr>
      </w:pPr>
      <w:r>
        <w:rPr>
          <w:rFonts w:hint="eastAsia" w:ascii="仿宋" w:hAnsi="仿宋" w:eastAsia="仿宋" w:cs="仿宋"/>
          <w:i w:val="0"/>
          <w:iCs w:val="0"/>
          <w:caps w:val="0"/>
          <w:color w:val="000000"/>
          <w:spacing w:val="0"/>
          <w:sz w:val="32"/>
          <w:szCs w:val="32"/>
        </w:rPr>
        <w:t>建立健全推动新型基础设施建设的实施机制，统筹规划，协同建设，一体推进。各有关部门、各街镇要提高站位、深化认识，深刻领会新型基础设施建设的重要意义，细化目标任务，压实工作责任，明确时间节点，形成工作合力。（责任单位：区有关部门、各街镇）</w:t>
      </w:r>
    </w:p>
    <w:p>
      <w:pPr>
        <w:pStyle w:val="2"/>
        <w:keepNext w:val="0"/>
        <w:keepLines w:val="0"/>
        <w:widowControl/>
        <w:suppressLineNumbers w:val="0"/>
        <w:spacing w:line="285" w:lineRule="atLeast"/>
        <w:ind w:left="0" w:firstLine="323"/>
        <w:rPr>
          <w:rFonts w:hint="default" w:ascii="sans-serif" w:hAnsi="sans-serif" w:eastAsia="sans-serif" w:cs="sans-serif"/>
          <w:i w:val="0"/>
          <w:iCs w:val="0"/>
          <w:caps w:val="0"/>
          <w:color w:val="000000"/>
          <w:spacing w:val="0"/>
          <w:sz w:val="32"/>
          <w:szCs w:val="32"/>
        </w:rPr>
      </w:pPr>
      <w:r>
        <w:rPr>
          <w:rFonts w:hint="eastAsia" w:ascii="楷体" w:hAnsi="楷体" w:eastAsia="楷体" w:cs="楷体"/>
          <w:i w:val="0"/>
          <w:iCs w:val="0"/>
          <w:caps w:val="0"/>
          <w:color w:val="000000"/>
          <w:spacing w:val="0"/>
          <w:sz w:val="32"/>
          <w:szCs w:val="32"/>
        </w:rPr>
        <w:t>（二）强化要素保障</w:t>
      </w:r>
    </w:p>
    <w:p>
      <w:pPr>
        <w:pStyle w:val="2"/>
        <w:keepNext w:val="0"/>
        <w:keepLines w:val="0"/>
        <w:widowControl/>
        <w:suppressLineNumbers w:val="0"/>
        <w:spacing w:line="285" w:lineRule="atLeast"/>
        <w:ind w:left="0" w:firstLine="323"/>
        <w:rPr>
          <w:rFonts w:hint="default" w:ascii="sans-serif" w:hAnsi="sans-serif" w:eastAsia="sans-serif" w:cs="sans-serif"/>
          <w:i w:val="0"/>
          <w:iCs w:val="0"/>
          <w:caps w:val="0"/>
          <w:color w:val="000000"/>
          <w:spacing w:val="0"/>
          <w:sz w:val="32"/>
          <w:szCs w:val="32"/>
        </w:rPr>
      </w:pPr>
      <w:r>
        <w:rPr>
          <w:rFonts w:hint="eastAsia" w:ascii="仿宋" w:hAnsi="仿宋" w:eastAsia="仿宋" w:cs="仿宋"/>
          <w:i w:val="0"/>
          <w:iCs w:val="0"/>
          <w:caps w:val="0"/>
          <w:color w:val="000000"/>
          <w:spacing w:val="0"/>
          <w:sz w:val="32"/>
          <w:szCs w:val="32"/>
        </w:rPr>
        <w:t>重大项目优先纳入天津市重点建设、储备项目清单，推进“以函代证”“容缺后补”等审批改革，在新增建设用地指标、能耗指标和污染物排放总量指标等方面予以优先支持。优化简化业务经办流程，打造“海河英才”行动计划升级版。推进“海河工匠”工程建设，推动企业实训中心及时落地。强化民办职业培训机构管理，切实提升工人及农村劳动力劳动素质和技能水平。（责任单位：区发展改革委、区政务服务办、区生态环境局、区人社局）</w:t>
      </w:r>
    </w:p>
    <w:p>
      <w:pPr>
        <w:pStyle w:val="2"/>
        <w:keepNext w:val="0"/>
        <w:keepLines w:val="0"/>
        <w:widowControl/>
        <w:suppressLineNumbers w:val="0"/>
        <w:spacing w:line="285" w:lineRule="atLeast"/>
        <w:ind w:left="0" w:firstLine="323"/>
        <w:rPr>
          <w:rFonts w:hint="default" w:ascii="sans-serif" w:hAnsi="sans-serif" w:eastAsia="sans-serif" w:cs="sans-serif"/>
          <w:i w:val="0"/>
          <w:iCs w:val="0"/>
          <w:caps w:val="0"/>
          <w:color w:val="000000"/>
          <w:spacing w:val="0"/>
          <w:sz w:val="32"/>
          <w:szCs w:val="32"/>
        </w:rPr>
      </w:pPr>
      <w:r>
        <w:rPr>
          <w:rFonts w:hint="eastAsia" w:ascii="楷体" w:hAnsi="楷体" w:eastAsia="楷体" w:cs="楷体"/>
          <w:i w:val="0"/>
          <w:iCs w:val="0"/>
          <w:caps w:val="0"/>
          <w:color w:val="000000"/>
          <w:spacing w:val="0"/>
          <w:sz w:val="32"/>
          <w:szCs w:val="32"/>
        </w:rPr>
        <w:t>（三）强化安全防护</w:t>
      </w:r>
    </w:p>
    <w:p>
      <w:pPr>
        <w:pStyle w:val="2"/>
        <w:keepNext w:val="0"/>
        <w:keepLines w:val="0"/>
        <w:widowControl/>
        <w:suppressLineNumbers w:val="0"/>
        <w:spacing w:line="285" w:lineRule="atLeast"/>
        <w:ind w:left="0" w:firstLine="323"/>
        <w:rPr>
          <w:rFonts w:hint="default" w:ascii="sans-serif" w:hAnsi="sans-serif" w:eastAsia="sans-serif" w:cs="sans-serif"/>
          <w:i w:val="0"/>
          <w:iCs w:val="0"/>
          <w:caps w:val="0"/>
          <w:color w:val="000000"/>
          <w:spacing w:val="0"/>
          <w:sz w:val="32"/>
          <w:szCs w:val="32"/>
        </w:rPr>
      </w:pPr>
      <w:r>
        <w:rPr>
          <w:rFonts w:hint="eastAsia" w:ascii="仿宋" w:hAnsi="仿宋" w:eastAsia="仿宋" w:cs="仿宋"/>
          <w:i w:val="0"/>
          <w:iCs w:val="0"/>
          <w:caps w:val="0"/>
          <w:color w:val="000000"/>
          <w:spacing w:val="0"/>
          <w:sz w:val="32"/>
          <w:szCs w:val="32"/>
        </w:rPr>
        <w:t>发挥网络安全对新型基础设施建设发展的保障作用，同步规划、建设、运行安全基础设施，构建“预防、发现、处置、恢复”一体化安全防护体系。建立高效的网络安全防护机制，提升网络安全水平。加快全区数据安全保障体系建设，制定数据安全保护制度和技术标准，开展数据安全信息备案、评估检测、监测通报等工作，加强对重要数据和个人信息的保护。（责任单位：区委网信办、公安宝坻分局、各街镇）</w:t>
      </w:r>
    </w:p>
    <w:p>
      <w:pPr>
        <w:pStyle w:val="2"/>
        <w:keepNext w:val="0"/>
        <w:keepLines w:val="0"/>
        <w:widowControl/>
        <w:suppressLineNumbers w:val="0"/>
        <w:spacing w:line="285" w:lineRule="atLeast"/>
        <w:ind w:left="0" w:firstLine="323"/>
        <w:rPr>
          <w:rFonts w:hint="default" w:ascii="sans-serif" w:hAnsi="sans-serif" w:eastAsia="sans-serif" w:cs="sans-serif"/>
          <w:i w:val="0"/>
          <w:iCs w:val="0"/>
          <w:caps w:val="0"/>
          <w:color w:val="000000"/>
          <w:spacing w:val="0"/>
          <w:sz w:val="32"/>
          <w:szCs w:val="32"/>
        </w:rPr>
      </w:pPr>
      <w:r>
        <w:rPr>
          <w:rFonts w:hint="eastAsia" w:ascii="楷体" w:hAnsi="楷体" w:eastAsia="楷体" w:cs="楷体"/>
          <w:i w:val="0"/>
          <w:iCs w:val="0"/>
          <w:caps w:val="0"/>
          <w:color w:val="000000"/>
          <w:spacing w:val="0"/>
          <w:sz w:val="32"/>
          <w:szCs w:val="32"/>
        </w:rPr>
        <w:t>（四）强化市场引育</w:t>
      </w:r>
    </w:p>
    <w:p>
      <w:pPr>
        <w:pStyle w:val="2"/>
        <w:keepNext w:val="0"/>
        <w:keepLines w:val="0"/>
        <w:widowControl/>
        <w:suppressLineNumbers w:val="0"/>
        <w:spacing w:line="285" w:lineRule="atLeast"/>
        <w:ind w:left="0" w:firstLine="323"/>
        <w:rPr>
          <w:rFonts w:hint="default" w:ascii="sans-serif" w:hAnsi="sans-serif" w:eastAsia="sans-serif" w:cs="sans-serif"/>
          <w:i w:val="0"/>
          <w:iCs w:val="0"/>
          <w:caps w:val="0"/>
          <w:color w:val="000000"/>
          <w:spacing w:val="0"/>
          <w:sz w:val="32"/>
          <w:szCs w:val="32"/>
        </w:rPr>
      </w:pPr>
      <w:r>
        <w:rPr>
          <w:rFonts w:hint="eastAsia" w:ascii="仿宋" w:hAnsi="仿宋" w:eastAsia="仿宋" w:cs="仿宋"/>
          <w:i w:val="0"/>
          <w:iCs w:val="0"/>
          <w:caps w:val="0"/>
          <w:color w:val="000000"/>
          <w:spacing w:val="0"/>
          <w:sz w:val="32"/>
          <w:szCs w:val="32"/>
        </w:rPr>
        <w:t>打造多部门参与、多层次联动、多方面协同的“大招商”工作格局。依托资源、场景和政策优势，聚焦人工智能、大数据、5G应用等重点领域，推动线上招商、专业招商、会展招商、以商招商，引进一批标志性项目落户本区。坚持“内培”与“外引”并重，推动初创型、成长型企业快速发展，集中优势资源支持骨干企业做大做强，培育形成优势产业集群。（责任单位：区合作交流办、宝坻经济开发区、京津中关村科技城管委会、各街镇）</w:t>
      </w:r>
    </w:p>
    <w:p>
      <w:pPr>
        <w:rPr>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AC71C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2022-11-08T07:50:49Z</dcterms:created>
  <dc:creator>51318</dc:creator>
  <cp:lastModifiedBy>51318</cp:lastModifiedBy>
  <dcterms:modified xsi:type="dcterms:W3CDTF">2022-11-08T07:51:24Z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6B14D47B0A8A43AFB2623C508887B427</vt:lpwstr>
  </property>
</Properties>
</file>